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gnx-to-i-a-2.htm"/>
      <w:bookmarkStart w:id="1" w:name="ksrgnxtoia2"/>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SCHEDULE TO</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(Amendment No. 2)</w:t>
      </w:r>
    </w:p>
    <w:p>
      <w:pPr>
        <w:pStyle w:val="TextBody"/>
        <w:bidi w:val="0"/>
        <w:jc w:val="center"/>
        <w:rPr>
          <w:rFonts w:ascii="Times New Roman" w:hAnsi="Times New Roman"/>
          <w:b/>
          <w:color w:val="000000"/>
          <w:sz w:val="20"/>
        </w:rPr>
      </w:pPr>
      <w:r>
        <w:rPr>
          <w:rFonts w:ascii="Times New Roman" w:hAnsi="Times New Roman"/>
          <w:b/>
          <w:color w:val="000000"/>
          <w:sz w:val="20"/>
        </w:rPr>
        <w:t>(Rule 13a-4)</w:t>
      </w:r>
    </w:p>
    <w:p>
      <w:pPr>
        <w:pStyle w:val="TextBody"/>
        <w:bidi w:val="0"/>
        <w:jc w:val="center"/>
        <w:rPr>
          <w:rFonts w:ascii="Times New Roman" w:hAnsi="Times New Roman"/>
          <w:b/>
          <w:color w:val="000000"/>
          <w:sz w:val="20"/>
        </w:rPr>
      </w:pPr>
      <w:r>
        <w:rPr>
          <w:rFonts w:ascii="Times New Roman" w:hAnsi="Times New Roman"/>
          <w:b/>
          <w:color w:val="000000"/>
          <w:sz w:val="20"/>
        </w:rPr>
        <w:t>Tender Offer Statement Under Section 14(d)(1) or 13(e)(1)</w:t>
      </w:r>
    </w:p>
    <w:p>
      <w:pPr>
        <w:pStyle w:val="TextBody"/>
        <w:bidi w:val="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sz w:val="20"/>
        </w:rPr>
      </w:pPr>
      <w:r>
        <w:rPr>
          <w:rFonts w:ascii="Times New Roman" w:hAnsi="Times New Roman"/>
          <w:b/>
          <w:color w:val="000000"/>
          <w:sz w:val="48"/>
        </w:rPr>
        <w:t>REGENXBIO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(Name of Subject Company (Issuer) and Filing Person (Offeror))</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Options to Purchase Common Stock, Par Value $0.0001 per share</w:t>
      </w:r>
    </w:p>
    <w:p>
      <w:pPr>
        <w:pStyle w:val="TextBody"/>
        <w:bidi w:val="0"/>
        <w:jc w:val="center"/>
        <w:rPr>
          <w:rFonts w:ascii="Times New Roman" w:hAnsi="Times New Roman"/>
          <w:b/>
          <w:color w:val="000000"/>
          <w:sz w:val="16"/>
        </w:rPr>
      </w:pPr>
      <w:r>
        <w:rPr>
          <w:rFonts w:ascii="Times New Roman" w:hAnsi="Times New Roman"/>
          <w:b/>
          <w:color w:val="000000"/>
          <w:sz w:val="16"/>
        </w:rPr>
        <w:t>(Title of Class of Securities)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75901B107</w:t>
      </w:r>
    </w:p>
    <w:p>
      <w:pPr>
        <w:pStyle w:val="TextBody"/>
        <w:bidi w:val="0"/>
        <w:jc w:val="center"/>
        <w:rPr>
          <w:rFonts w:ascii="Times New Roman" w:hAnsi="Times New Roman"/>
          <w:b/>
          <w:color w:val="000000"/>
          <w:sz w:val="16"/>
        </w:rPr>
      </w:pPr>
      <w:r>
        <w:rPr>
          <w:rFonts w:ascii="Times New Roman" w:hAnsi="Times New Roman"/>
          <w:b/>
          <w:color w:val="000000"/>
          <w:sz w:val="16"/>
        </w:rPr>
        <w:t>(CUSIP Number of Class of Securities)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Curran Simpson</w:t>
      </w:r>
    </w:p>
    <w:p>
      <w:pPr>
        <w:pStyle w:val="TextBody"/>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REGENXBIO Inc.</w:t>
      </w:r>
    </w:p>
    <w:p>
      <w:pPr>
        <w:pStyle w:val="TextBody"/>
        <w:bidi w:val="0"/>
        <w:jc w:val="center"/>
        <w:rPr>
          <w:rFonts w:ascii="Times New Roman" w:hAnsi="Times New Roman"/>
          <w:b/>
          <w:color w:val="000000"/>
          <w:sz w:val="20"/>
        </w:rPr>
      </w:pPr>
      <w:r>
        <w:rPr>
          <w:rFonts w:ascii="Times New Roman" w:hAnsi="Times New Roman"/>
          <w:b/>
          <w:color w:val="000000"/>
          <w:sz w:val="20"/>
        </w:rPr>
        <w:t>9804 Medical Center Drive</w:t>
      </w:r>
    </w:p>
    <w:p>
      <w:pPr>
        <w:pStyle w:val="TextBody"/>
        <w:bidi w:val="0"/>
        <w:jc w:val="center"/>
        <w:rPr>
          <w:rFonts w:ascii="Times New Roman" w:hAnsi="Times New Roman"/>
          <w:b/>
          <w:color w:val="000000"/>
          <w:sz w:val="20"/>
        </w:rPr>
      </w:pPr>
      <w:r>
        <w:rPr>
          <w:rFonts w:ascii="Times New Roman" w:hAnsi="Times New Roman"/>
          <w:b/>
          <w:color w:val="000000"/>
          <w:sz w:val="20"/>
        </w:rPr>
        <w:t>Rockville, Maryland 20850</w:t>
      </w:r>
    </w:p>
    <w:p>
      <w:pPr>
        <w:pStyle w:val="TextBody"/>
        <w:bidi w:val="0"/>
        <w:jc w:val="center"/>
        <w:rPr>
          <w:rFonts w:ascii="Times New Roman" w:hAnsi="Times New Roman"/>
          <w:b/>
          <w:color w:val="000000"/>
          <w:sz w:val="20"/>
        </w:rPr>
      </w:pPr>
      <w:r>
        <w:rPr>
          <w:rFonts w:ascii="Times New Roman" w:hAnsi="Times New Roman"/>
          <w:b/>
          <w:color w:val="000000"/>
          <w:sz w:val="20"/>
        </w:rPr>
        <w:t>(240) 552-8181</w:t>
      </w:r>
    </w:p>
    <w:p>
      <w:pPr>
        <w:pStyle w:val="TextBody"/>
        <w:bidi w:val="0"/>
        <w:jc w:val="center"/>
        <w:rPr>
          <w:rFonts w:ascii="Times New Roman" w:hAnsi="Times New Roman"/>
          <w:b/>
          <w:color w:val="000000"/>
          <w:sz w:val="16"/>
        </w:rPr>
      </w:pPr>
      <w:r>
        <w:rPr>
          <w:rFonts w:ascii="Times New Roman" w:hAnsi="Times New Roman"/>
          <w:b/>
          <w:color w:val="000000"/>
          <w:sz w:val="16"/>
        </w:rPr>
        <w:t>(Name, Address, and Telephone Number of Person Authorized to Receive Notices and Communications on Behalf of Filing Person)</w:t>
      </w:r>
    </w:p>
    <w:p>
      <w:pPr>
        <w:pStyle w:val="TextBody"/>
        <w:bidi w:val="0"/>
        <w:jc w:val="center"/>
        <w:rPr/>
      </w:pPr>
      <w:r>
        <w:rPr/>
        <w:t> </w:t>
      </w:r>
    </w:p>
    <w:p>
      <w:pPr>
        <w:pStyle w:val="TextBody"/>
        <w:bidi w:val="0"/>
        <w:jc w:val="center"/>
        <w:rPr>
          <w:rFonts w:ascii="Times New Roman" w:hAnsi="Times New Roman"/>
          <w:b/>
          <w:i/>
          <w:color w:val="000000"/>
          <w:sz w:val="16"/>
        </w:rPr>
      </w:pPr>
      <w:r>
        <w:rPr>
          <w:rFonts w:ascii="Times New Roman" w:hAnsi="Times New Roman"/>
          <w:b/>
          <w:i/>
          <w:color w:val="000000"/>
          <w:sz w:val="16"/>
        </w:rPr>
        <w:t>With Copies to:</w:t>
      </w:r>
    </w:p>
    <w:p>
      <w:pPr>
        <w:pStyle w:val="TextBody"/>
        <w:bidi w:val="0"/>
        <w:jc w:val="center"/>
        <w:rPr/>
      </w:pPr>
      <w:r>
        <w:rPr/>
        <w:t> </w:t>
      </w:r>
    </w:p>
    <w:tbl>
      <w:tblPr>
        <w:tblW w:w="6437" w:type="dxa"/>
        <w:jc w:val="left"/>
        <w:tblInd w:w="0" w:type="dxa"/>
        <w:tblLayout w:type="fixed"/>
        <w:tblCellMar>
          <w:top w:w="28" w:type="dxa"/>
          <w:left w:w="28" w:type="dxa"/>
          <w:bottom w:w="28" w:type="dxa"/>
          <w:right w:w="28" w:type="dxa"/>
        </w:tblCellMar>
      </w:tblPr>
      <w:tblGrid>
        <w:gridCol w:w="4396"/>
        <w:gridCol w:w="2041"/>
      </w:tblGrid>
      <w:tr>
        <w:trPr/>
        <w:tc>
          <w:tcPr>
            <w:tcW w:w="439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43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Patrick J. Christmas</w:t>
            </w:r>
          </w:p>
          <w:p>
            <w:pPr>
              <w:pStyle w:val="TableContents"/>
              <w:bidi w:val="0"/>
              <w:jc w:val="center"/>
              <w:rPr>
                <w:rFonts w:ascii="Times New Roman" w:hAnsi="Times New Roman"/>
                <w:b/>
                <w:color w:val="000000"/>
                <w:sz w:val="16"/>
              </w:rPr>
            </w:pPr>
            <w:r>
              <w:rPr>
                <w:rFonts w:ascii="Times New Roman" w:hAnsi="Times New Roman"/>
                <w:b/>
                <w:color w:val="000000"/>
                <w:sz w:val="16"/>
              </w:rPr>
              <w:t>Executive Vice President, Chief Strategy and Legal Officer</w:t>
            </w:r>
          </w:p>
          <w:p>
            <w:pPr>
              <w:pStyle w:val="TableContents"/>
              <w:bidi w:val="0"/>
              <w:jc w:val="center"/>
              <w:rPr>
                <w:rFonts w:ascii="Times New Roman" w:hAnsi="Times New Roman"/>
                <w:b/>
                <w:color w:val="000000"/>
                <w:sz w:val="16"/>
              </w:rPr>
            </w:pPr>
            <w:r>
              <w:rPr>
                <w:rFonts w:ascii="Times New Roman" w:hAnsi="Times New Roman"/>
                <w:b/>
                <w:color w:val="000000"/>
                <w:sz w:val="16"/>
              </w:rPr>
              <w:t>REGENXBIO Inc.</w:t>
            </w:r>
          </w:p>
          <w:p>
            <w:pPr>
              <w:pStyle w:val="TableContents"/>
              <w:bidi w:val="0"/>
              <w:jc w:val="center"/>
              <w:rPr>
                <w:rFonts w:ascii="Times New Roman" w:hAnsi="Times New Roman"/>
                <w:b/>
                <w:color w:val="000000"/>
                <w:sz w:val="16"/>
              </w:rPr>
            </w:pPr>
            <w:r>
              <w:rPr>
                <w:rFonts w:ascii="Times New Roman" w:hAnsi="Times New Roman"/>
                <w:b/>
                <w:color w:val="000000"/>
                <w:sz w:val="16"/>
              </w:rPr>
              <w:t>9804 Medical Center Drive</w:t>
            </w:r>
          </w:p>
          <w:p>
            <w:pPr>
              <w:pStyle w:val="TableContents"/>
              <w:bidi w:val="0"/>
              <w:jc w:val="center"/>
              <w:rPr>
                <w:rFonts w:ascii="Times New Roman" w:hAnsi="Times New Roman"/>
                <w:b/>
                <w:color w:val="000000"/>
                <w:sz w:val="16"/>
              </w:rPr>
            </w:pPr>
            <w:r>
              <w:rPr>
                <w:rFonts w:ascii="Times New Roman" w:hAnsi="Times New Roman"/>
                <w:b/>
                <w:color w:val="000000"/>
                <w:sz w:val="16"/>
              </w:rPr>
              <w:t>Rockville, Maryland 20850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(240) 552-8181</w:t>
            </w:r>
          </w:p>
        </w:tc>
        <w:tc>
          <w:tcPr>
            <w:tcW w:w="204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Kerry Shannon Burke</w:t>
            </w:r>
          </w:p>
          <w:p>
            <w:pPr>
              <w:pStyle w:val="TableContents"/>
              <w:bidi w:val="0"/>
              <w:jc w:val="center"/>
              <w:rPr>
                <w:rFonts w:ascii="Times New Roman" w:hAnsi="Times New Roman"/>
                <w:b/>
                <w:color w:val="000000"/>
                <w:sz w:val="16"/>
              </w:rPr>
            </w:pPr>
            <w:r>
              <w:rPr>
                <w:rFonts w:ascii="Times New Roman" w:hAnsi="Times New Roman"/>
                <w:b/>
                <w:color w:val="000000"/>
                <w:sz w:val="16"/>
              </w:rPr>
              <w:t>Matthew C. Franker</w:t>
            </w:r>
          </w:p>
          <w:p>
            <w:pPr>
              <w:pStyle w:val="TableContents"/>
              <w:bidi w:val="0"/>
              <w:jc w:val="center"/>
              <w:rPr>
                <w:rFonts w:ascii="Times New Roman" w:hAnsi="Times New Roman"/>
                <w:b/>
                <w:color w:val="000000"/>
                <w:sz w:val="16"/>
              </w:rPr>
            </w:pPr>
            <w:r>
              <w:rPr>
                <w:rFonts w:ascii="Times New Roman" w:hAnsi="Times New Roman"/>
                <w:b/>
                <w:color w:val="000000"/>
                <w:sz w:val="16"/>
              </w:rPr>
              <w:t>Covington &amp; Burling LLP</w:t>
            </w:r>
          </w:p>
          <w:p>
            <w:pPr>
              <w:pStyle w:val="TableContents"/>
              <w:bidi w:val="0"/>
              <w:jc w:val="center"/>
              <w:rPr>
                <w:rFonts w:ascii="Times New Roman" w:hAnsi="Times New Roman"/>
                <w:b/>
                <w:color w:val="000000"/>
                <w:sz w:val="16"/>
              </w:rPr>
            </w:pPr>
            <w:r>
              <w:rPr>
                <w:rFonts w:ascii="Times New Roman" w:hAnsi="Times New Roman"/>
                <w:b/>
                <w:color w:val="000000"/>
                <w:sz w:val="16"/>
              </w:rPr>
              <w:t>One CityCenter</w:t>
            </w:r>
          </w:p>
          <w:p>
            <w:pPr>
              <w:pStyle w:val="TableContents"/>
              <w:bidi w:val="0"/>
              <w:jc w:val="center"/>
              <w:rPr>
                <w:rFonts w:ascii="Times New Roman" w:hAnsi="Times New Roman"/>
                <w:b/>
                <w:color w:val="000000"/>
                <w:sz w:val="16"/>
              </w:rPr>
            </w:pPr>
            <w:r>
              <w:rPr>
                <w:rFonts w:ascii="Times New Roman" w:hAnsi="Times New Roman"/>
                <w:b/>
                <w:color w:val="000000"/>
                <w:sz w:val="16"/>
              </w:rPr>
              <w:t>850 Tenth Street N.W.</w:t>
            </w:r>
          </w:p>
          <w:p>
            <w:pPr>
              <w:pStyle w:val="TableContents"/>
              <w:bidi w:val="0"/>
              <w:jc w:val="center"/>
              <w:rPr>
                <w:rFonts w:ascii="Times New Roman" w:hAnsi="Times New Roman"/>
                <w:b/>
                <w:color w:val="000000"/>
                <w:sz w:val="16"/>
              </w:rPr>
            </w:pPr>
            <w:r>
              <w:rPr>
                <w:rFonts w:ascii="Times New Roman" w:hAnsi="Times New Roman"/>
                <w:b/>
                <w:color w:val="000000"/>
                <w:sz w:val="16"/>
              </w:rPr>
              <w:t>Washington, D.C. 20001</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 662-6000</w:t>
            </w:r>
          </w:p>
        </w:tc>
      </w:tr>
    </w:tbl>
    <w:p>
      <w:pPr>
        <w:pStyle w:val="TextBody"/>
        <w:pBdr>
          <w:bottom w:val="single" w:sz="6"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Check the box if the filing relates solely to preliminary communications made before the commencement of a tender offer.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boxes below to designate any transactions to which the statement relates:</w:t>
      </w:r>
    </w:p>
    <w:p>
      <w:pPr>
        <w:pStyle w:val="TextBody"/>
        <w:bidi w:val="0"/>
        <w:jc w:val="left"/>
        <w:rPr/>
      </w:pPr>
      <w:r>
        <w:rPr/>
        <w:t> </w:t>
      </w:r>
    </w:p>
    <w:tbl>
      <w:tblPr>
        <w:tblW w:w="4382" w:type="dxa"/>
        <w:jc w:val="left"/>
        <w:tblInd w:w="0" w:type="dxa"/>
        <w:tblLayout w:type="fixed"/>
        <w:tblCellMar>
          <w:top w:w="28" w:type="dxa"/>
          <w:left w:w="28" w:type="dxa"/>
          <w:bottom w:w="28" w:type="dxa"/>
          <w:right w:w="28" w:type="dxa"/>
        </w:tblCellMar>
      </w:tblPr>
      <w:tblGrid>
        <w:gridCol w:w="331"/>
        <w:gridCol w:w="4051"/>
      </w:tblGrid>
      <w:tr>
        <w:trPr/>
        <w:tc>
          <w:tcPr>
            <w:tcW w:w="331"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party tender offer subject to Rule 14d-1.</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405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Issuer tender offer subject to Rule 13e-4.</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405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going-private transaction subject to Rule 13e-3.</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405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amendment to Schedule 13D under Rule 13d-2.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following box if the filing is a final amendment reporting the results of the tender offer: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applicable, check the appropriate box(es) below to designate the appropriate rule provision(s) relied upon:</w:t>
      </w:r>
    </w:p>
    <w:p>
      <w:pPr>
        <w:pStyle w:val="TextBody"/>
        <w:bidi w:val="0"/>
        <w:jc w:val="left"/>
        <w:rPr/>
      </w:pPr>
      <w:r>
        <w:rPr/>
        <w:t> </w:t>
      </w:r>
    </w:p>
    <w:tbl>
      <w:tblPr>
        <w:tblW w:w="4892" w:type="dxa"/>
        <w:jc w:val="left"/>
        <w:tblInd w:w="0" w:type="dxa"/>
        <w:tblLayout w:type="fixed"/>
        <w:tblCellMar>
          <w:top w:w="28" w:type="dxa"/>
          <w:left w:w="28" w:type="dxa"/>
          <w:bottom w:w="28" w:type="dxa"/>
          <w:right w:w="28" w:type="dxa"/>
        </w:tblCellMar>
      </w:tblPr>
      <w:tblGrid>
        <w:gridCol w:w="331"/>
        <w:gridCol w:w="4561"/>
      </w:tblGrid>
      <w:tr>
        <w:trPr/>
        <w:tc>
          <w:tcPr>
            <w:tcW w:w="331"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13e-4(i) (Cross-Border Issuer Tender Offer)</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45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Rule 14d-1(d) (Cross-Border Third-Party Tender Offer)</w:t>
            </w:r>
          </w:p>
        </w:tc>
      </w:tr>
    </w:tbl>
    <w:p>
      <w:pPr>
        <w:pStyle w:val="TextBody"/>
        <w:bidi w:val="0"/>
        <w:jc w:val="left"/>
        <w:rPr/>
      </w:pPr>
      <w:r>
        <w:rPr/>
        <w:t> </w:t>
      </w:r>
    </w:p>
    <w:p>
      <w:pPr>
        <w:pStyle w:val="TextBody"/>
        <w:pBdr>
          <w:top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0"/>
        </w:rPr>
        <w:t>This Amendment No. 2 to Schedule TO (together with any exhibits and annexes attached hereto, this “</w:t>
      </w:r>
      <w:r>
        <w:rPr>
          <w:rFonts w:ascii="Times New Roman" w:hAnsi="Times New Roman"/>
          <w:i/>
          <w:color w:val="000000"/>
          <w:sz w:val="20"/>
        </w:rPr>
        <w:t>Amendment No. 2</w:t>
      </w:r>
      <w:r>
        <w:rPr>
          <w:rFonts w:ascii="Times New Roman" w:hAnsi="Times New Roman"/>
          <w:color w:val="000000"/>
          <w:sz w:val="20"/>
        </w:rPr>
        <w:t>”), is filed by REGENXBIO Inc., a Delaware corporation (the “</w:t>
      </w:r>
      <w:r>
        <w:rPr>
          <w:rFonts w:ascii="Times New Roman" w:hAnsi="Times New Roman"/>
          <w:i/>
          <w:color w:val="000000"/>
          <w:sz w:val="20"/>
        </w:rPr>
        <w:t>Company</w:t>
      </w:r>
      <w:r>
        <w:rPr>
          <w:rFonts w:ascii="Times New Roman" w:hAnsi="Times New Roman"/>
          <w:color w:val="000000"/>
          <w:sz w:val="20"/>
        </w:rPr>
        <w:t>”), and amends and supplements the Tender Offer Statement on Schedule TO filed by the Company with the Securities and Exchange Commission on June 3, 2026, as amended by Amendment No. 1 on July 1, 2026 (collectively, the “</w:t>
      </w:r>
      <w:r>
        <w:rPr>
          <w:rFonts w:ascii="Times New Roman" w:hAnsi="Times New Roman"/>
          <w:i/>
          <w:color w:val="000000"/>
          <w:sz w:val="20"/>
        </w:rPr>
        <w:t>Schedule TO</w:t>
      </w:r>
      <w:r>
        <w:rPr>
          <w:rFonts w:ascii="Times New Roman" w:hAnsi="Times New Roman"/>
          <w:color w:val="000000"/>
          <w:sz w:val="20"/>
        </w:rPr>
        <w:t>”). The Schedule TO relates to an offer by the Company (the “</w:t>
      </w:r>
      <w:r>
        <w:rPr>
          <w:rFonts w:ascii="Times New Roman" w:hAnsi="Times New Roman"/>
          <w:i/>
          <w:color w:val="000000"/>
          <w:sz w:val="20"/>
        </w:rPr>
        <w:t>Exchange Offer</w:t>
      </w:r>
      <w:r>
        <w:rPr>
          <w:rFonts w:ascii="Times New Roman" w:hAnsi="Times New Roman"/>
          <w:color w:val="000000"/>
          <w:sz w:val="20"/>
        </w:rPr>
        <w:t>”) to certain non-executive employees to exchange some or all of their eligible outstanding options to purchase shares of the Company’s common stock for replacement options to purchase shares of the Company’s common stock, upon the terms and subject to the conditions set forth in the Offer to Exchange Eligible Options for Replacement Options dated June 3, 2026 (the “</w:t>
      </w:r>
      <w:r>
        <w:rPr>
          <w:rFonts w:ascii="Times New Roman" w:hAnsi="Times New Roman"/>
          <w:i/>
          <w:color w:val="000000"/>
          <w:sz w:val="20"/>
        </w:rPr>
        <w:t>Offer to Exchange</w:t>
      </w:r>
      <w:r>
        <w:rPr>
          <w:rFonts w:ascii="Times New Roman" w:hAnsi="Times New Roman"/>
          <w:color w:val="000000"/>
          <w:sz w:val="20"/>
        </w:rPr>
        <w:t xml:space="preserve">”), included as Exhibit (a)(1)(A) to the Schedule TO and incorporated herein by reference.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Amendment No. 2 is being made to report the final results of the Exchange Offer. Except as otherwise set forth in this Amendment No. 2, the information set forth in the Schedule TO and the exhibits filed therewith remains unchanged and is incorporated herein by reference to the extent relevant to the items in this Amendment No. 2. Capitalized terms used but not defined herein have the meanings ascribed to them in the Schedule TO. You should read this Amendment No. 2 together with the Schedule TO and the Offer to Exchange.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4. Terms of the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Item 4(a) of the Schedule TO is hereby amended and supplemented to add the following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Offer expired at 11:59 p.m., Eastern Time, on July 1, 2026. A total of 184 Eligible Holders tendered options pursuant to the Offer. Pursuant to the terms and conditions of the Offer, the Company accepted for exchange Eligible Options to purchase a total of 1,940,394 shares of the Company’s common stock, representing approximately 67.0% of the total shares of the Company’s common stock underlying Eligible Options. All tendered Eligible Options were cancelled effective as of July 2, 2026, and on the same day, in exchange therefor, the Company granted Replacement Options to purchase 775,401 shares of the Company’s common stock, pursuant to the terms of the Offer to Exchange and the 2025 Equity Incentive Plan. The exercise price per share of the Replacement Options was $13.28 per share, which was the closing price per share of the Company’s common stock on the Nasdaq Global Select Market on July 2, 2026. The vesting terms of the Replacement Options are described in detail in the Offer to Exchange.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due inquiry and to the best of my knowledge and belief, I certify that the information set forth in this statement is true, complete and correct.</w:t>
      </w:r>
    </w:p>
    <w:p>
      <w:pPr>
        <w:pStyle w:val="TextBody"/>
        <w:bidi w:val="0"/>
        <w:jc w:val="left"/>
        <w:rPr/>
      </w:pPr>
      <w:r>
        <w:rPr/>
        <w:t> </w:t>
      </w:r>
    </w:p>
    <w:tbl>
      <w:tblPr>
        <w:tblW w:w="5329" w:type="dxa"/>
        <w:jc w:val="left"/>
        <w:tblInd w:w="0" w:type="dxa"/>
        <w:tblLayout w:type="fixed"/>
        <w:tblCellMar>
          <w:top w:w="28" w:type="dxa"/>
          <w:left w:w="28" w:type="dxa"/>
          <w:bottom w:w="28" w:type="dxa"/>
          <w:right w:w="28" w:type="dxa"/>
        </w:tblCellMar>
      </w:tblPr>
      <w:tblGrid>
        <w:gridCol w:w="556"/>
        <w:gridCol w:w="1111"/>
        <w:gridCol w:w="45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REGENXBIO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Curran Simpson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187"/>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740</Words>
  <Characters>3901</Characters>
  <CharactersWithSpaces>4614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