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185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87630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30"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79" w:lineRule="exact"/>
        <w:rPr>
          <w:rFonts w:ascii="MS PGothic" w:cs="MS PGothic" w:eastAsia="MS PGothic" w:hAnsi="MS PGothic"/>
          <w:sz w:val="16"/>
          <w:szCs w:val="16"/>
          <w:color w:val="auto"/>
          <w:highlight w:val="black"/>
        </w:rPr>
      </w:pPr>
    </w:p>
    <w:p>
      <w:pPr>
        <w:ind w:left="3660"/>
        <w:spacing w:after="0"/>
        <w:rPr>
          <w:rFonts w:ascii="MS PGothic" w:cs="MS PGothic" w:eastAsia="MS PGothic" w:hAnsi="MS PGothic"/>
          <w:sz w:val="16"/>
          <w:szCs w:val="16"/>
          <w:color w:val="auto"/>
          <w:highlight w:val="black"/>
        </w:rPr>
      </w:pPr>
      <w:r>
        <w:rPr>
          <w:rFonts w:ascii="Times New Roman" w:cs="Times New Roman" w:eastAsia="Times New Roman" w:hAnsi="Times New Roman"/>
          <w:sz w:val="18"/>
          <w:szCs w:val="18"/>
          <w:b w:val="1"/>
          <w:bCs w:val="1"/>
          <w:color w:val="auto"/>
        </w:rPr>
        <w:t>For the quarterly period ended September 30, 2026</w:t>
      </w:r>
    </w:p>
    <w:p>
      <w:pPr>
        <w:spacing w:after="0" w:line="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83"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93" w:lineRule="exact"/>
        <w:rPr>
          <w:rFonts w:ascii="MS PGothic" w:cs="MS PGothic" w:eastAsia="MS PGothic" w:hAnsi="MS PGothic"/>
          <w:sz w:val="16"/>
          <w:szCs w:val="16"/>
          <w:color w:val="auto"/>
          <w:highlight w:val="black"/>
        </w:rPr>
      </w:pPr>
    </w:p>
    <w:p>
      <w:pPr>
        <w:ind w:left="4040"/>
        <w:spacing w:after="0"/>
        <w:rPr>
          <w:rFonts w:ascii="MS PGothic" w:cs="MS PGothic" w:eastAsia="MS PGothic" w:hAnsi="MS PGothic"/>
          <w:sz w:val="16"/>
          <w:szCs w:val="16"/>
          <w:color w:val="auto"/>
          <w:highlight w:val="black"/>
        </w:rPr>
      </w:pPr>
      <w:r>
        <w:rPr>
          <w:rFonts w:ascii="Times New Roman" w:cs="Times New Roman" w:eastAsia="Times New Roman" w:hAnsi="Times New Roman"/>
          <w:sz w:val="18"/>
          <w:szCs w:val="18"/>
          <w:b w:val="1"/>
          <w:bCs w:val="1"/>
          <w:color w:val="auto"/>
        </w:rPr>
        <w:t>For the transition period from ___ to ___</w:t>
      </w:r>
    </w:p>
    <w:p>
      <w:pPr>
        <w:spacing w:after="0" w:line="76" w:lineRule="exact"/>
        <w:rPr>
          <w:rFonts w:ascii="MS PGothic" w:cs="MS PGothic" w:eastAsia="MS PGothic" w:hAnsi="MS PGothic"/>
          <w:sz w:val="16"/>
          <w:szCs w:val="16"/>
          <w:color w:val="auto"/>
          <w:highlight w:val="black"/>
        </w:rPr>
      </w:pPr>
    </w:p>
    <w:p>
      <w:pPr>
        <w:ind w:left="4220"/>
        <w:spacing w:after="0"/>
        <w:rPr>
          <w:rFonts w:ascii="MS PGothic" w:cs="MS PGothic" w:eastAsia="MS PGothic" w:hAnsi="MS PGothic"/>
          <w:sz w:val="16"/>
          <w:szCs w:val="16"/>
          <w:color w:val="auto"/>
          <w:highlight w:val="black"/>
        </w:rPr>
      </w:pPr>
      <w:r>
        <w:rPr>
          <w:rFonts w:ascii="Times New Roman" w:cs="Times New Roman" w:eastAsia="Times New Roman" w:hAnsi="Times New Roman"/>
          <w:sz w:val="18"/>
          <w:szCs w:val="18"/>
          <w:b w:val="1"/>
          <w:bCs w:val="1"/>
          <w:color w:val="auto"/>
        </w:rPr>
        <w:t>Commission File Number 001-37553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80010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REGENXBIO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4" w:lineRule="exact"/>
        <w:rPr>
          <w:sz w:val="24"/>
          <w:szCs w:val="24"/>
          <w:color w:val="auto"/>
        </w:rPr>
      </w:pPr>
    </w:p>
    <w:tbl>
      <w:tblPr>
        <w:tblLayout w:type="fixed"/>
        <w:tblInd w:w="1580" w:type="dxa"/>
        <w:tblCellMar>
          <w:top w:w="0" w:type="dxa"/>
          <w:left w:w="0" w:type="dxa"/>
          <w:bottom w:w="0" w:type="dxa"/>
          <w:right w:w="0" w:type="dxa"/>
        </w:tblCellMar>
      </w:tblPr>
      <w:tr>
        <w:trPr>
          <w:trHeight w:val="214"/>
        </w:trPr>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080" w:type="dxa"/>
            <w:vAlign w:val="bottom"/>
          </w:tcPr>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47-1851754</w:t>
            </w:r>
          </w:p>
        </w:tc>
      </w:tr>
      <w:tr>
        <w:trPr>
          <w:trHeight w:val="148"/>
        </w:trPr>
        <w:tc>
          <w:tcPr>
            <w:tcW w:w="24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5080" w:type="dxa"/>
            <w:vAlign w:val="bottom"/>
          </w:tcPr>
          <w:p>
            <w:pPr>
              <w:jc w:val="center"/>
              <w:ind w:left="3879"/>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5080" w:type="dxa"/>
            <w:vAlign w:val="bottom"/>
          </w:tcPr>
          <w:p>
            <w:pPr>
              <w:jc w:val="center"/>
              <w:ind w:left="3859"/>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98"/>
        </w:trPr>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9804 Medical Center Drive</w:t>
            </w:r>
          </w:p>
        </w:tc>
        <w:tc>
          <w:tcPr>
            <w:tcW w:w="5080" w:type="dxa"/>
            <w:vAlign w:val="bottom"/>
          </w:tcPr>
          <w:p>
            <w:pPr>
              <w:spacing w:after="0"/>
              <w:rPr>
                <w:sz w:val="24"/>
                <w:szCs w:val="24"/>
                <w:color w:val="auto"/>
              </w:rPr>
            </w:pPr>
          </w:p>
        </w:tc>
      </w:tr>
      <w:tr>
        <w:trPr>
          <w:trHeight w:val="214"/>
        </w:trPr>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Rockville, MD</w:t>
            </w:r>
          </w:p>
        </w:tc>
        <w:tc>
          <w:tcPr>
            <w:tcW w:w="5080" w:type="dxa"/>
            <w:vAlign w:val="bottom"/>
          </w:tcPr>
          <w:p>
            <w:pPr>
              <w:jc w:val="right"/>
              <w:ind w:right="259"/>
              <w:spacing w:after="0"/>
              <w:rPr>
                <w:sz w:val="20"/>
                <w:szCs w:val="20"/>
                <w:color w:val="auto"/>
              </w:rPr>
            </w:pPr>
            <w:r>
              <w:rPr>
                <w:rFonts w:ascii="Times New Roman" w:cs="Times New Roman" w:eastAsia="Times New Roman" w:hAnsi="Times New Roman"/>
                <w:sz w:val="18"/>
                <w:szCs w:val="18"/>
                <w:b w:val="1"/>
                <w:bCs w:val="1"/>
                <w:color w:val="auto"/>
              </w:rPr>
              <w:t>20850</w:t>
            </w:r>
          </w:p>
        </w:tc>
      </w:tr>
      <w:tr>
        <w:trPr>
          <w:trHeight w:val="190"/>
        </w:trPr>
        <w:tc>
          <w:tcPr>
            <w:tcW w:w="2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5080" w:type="dxa"/>
            <w:vAlign w:val="bottom"/>
          </w:tcPr>
          <w:p>
            <w:pPr>
              <w:jc w:val="center"/>
              <w:ind w:left="3859"/>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242"/>
        </w:trPr>
        <w:tc>
          <w:tcPr>
            <w:tcW w:w="2400" w:type="dxa"/>
            <w:vAlign w:val="bottom"/>
          </w:tcPr>
          <w:p>
            <w:pPr>
              <w:spacing w:after="0"/>
              <w:rPr>
                <w:sz w:val="21"/>
                <w:szCs w:val="21"/>
                <w:color w:val="auto"/>
              </w:rPr>
            </w:pPr>
          </w:p>
        </w:tc>
        <w:tc>
          <w:tcPr>
            <w:tcW w:w="5080" w:type="dxa"/>
            <w:vAlign w:val="bottom"/>
          </w:tcPr>
          <w:p>
            <w:pPr>
              <w:jc w:val="center"/>
              <w:ind w:right="1719"/>
              <w:spacing w:after="0"/>
              <w:rPr>
                <w:sz w:val="20"/>
                <w:szCs w:val="20"/>
                <w:color w:val="auto"/>
              </w:rPr>
            </w:pPr>
            <w:r>
              <w:rPr>
                <w:rFonts w:ascii="Times New Roman" w:cs="Times New Roman" w:eastAsia="Times New Roman" w:hAnsi="Times New Roman"/>
                <w:sz w:val="18"/>
                <w:szCs w:val="18"/>
                <w:b w:val="1"/>
                <w:bCs w:val="1"/>
                <w:color w:val="auto"/>
                <w:w w:val="99"/>
              </w:rPr>
              <w:t>(240) 552-8181</w:t>
            </w:r>
          </w:p>
        </w:tc>
      </w:tr>
      <w:tr>
        <w:trPr>
          <w:trHeight w:val="151"/>
        </w:trPr>
        <w:tc>
          <w:tcPr>
            <w:tcW w:w="2400" w:type="dxa"/>
            <w:vAlign w:val="bottom"/>
          </w:tcPr>
          <w:p>
            <w:pPr>
              <w:spacing w:after="0"/>
              <w:rPr>
                <w:sz w:val="13"/>
                <w:szCs w:val="13"/>
                <w:color w:val="auto"/>
              </w:rPr>
            </w:pPr>
          </w:p>
        </w:tc>
        <w:tc>
          <w:tcPr>
            <w:tcW w:w="5080" w:type="dxa"/>
            <w:vAlign w:val="bottom"/>
          </w:tcPr>
          <w:p>
            <w:pPr>
              <w:jc w:val="center"/>
              <w:ind w:right="1719"/>
              <w:spacing w:after="0" w:line="151" w:lineRule="exact"/>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r>
      <w:tr>
        <w:trPr>
          <w:trHeight w:val="232"/>
        </w:trPr>
        <w:tc>
          <w:tcPr>
            <w:tcW w:w="2400" w:type="dxa"/>
            <w:vAlign w:val="bottom"/>
          </w:tcPr>
          <w:p>
            <w:pPr>
              <w:spacing w:after="0"/>
              <w:rPr>
                <w:sz w:val="20"/>
                <w:szCs w:val="20"/>
                <w:color w:val="auto"/>
              </w:rPr>
            </w:pPr>
          </w:p>
        </w:tc>
        <w:tc>
          <w:tcPr>
            <w:tcW w:w="5080" w:type="dxa"/>
            <w:vAlign w:val="bottom"/>
          </w:tcPr>
          <w:p>
            <w:pPr>
              <w:jc w:val="center"/>
              <w:ind w:right="1719"/>
              <w:spacing w:after="0"/>
              <w:rPr>
                <w:sz w:val="20"/>
                <w:szCs w:val="20"/>
                <w:color w:val="auto"/>
              </w:rPr>
            </w:pPr>
            <w:r>
              <w:rPr>
                <w:rFonts w:ascii="Times New Roman" w:cs="Times New Roman" w:eastAsia="Times New Roman" w:hAnsi="Times New Roman"/>
                <w:sz w:val="18"/>
                <w:szCs w:val="18"/>
                <w:b w:val="1"/>
                <w:bCs w:val="1"/>
                <w:color w:val="auto"/>
              </w:rPr>
              <w:t>Not Applicable</w:t>
            </w:r>
          </w:p>
        </w:tc>
      </w:tr>
    </w:tbl>
    <w:p>
      <w:pPr>
        <w:jc w:val="center"/>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85" w:lineRule="exact"/>
        <w:rPr>
          <w:sz w:val="24"/>
          <w:szCs w:val="24"/>
          <w:color w:val="auto"/>
        </w:rPr>
      </w:pPr>
    </w:p>
    <w:tbl>
      <w:tblPr>
        <w:tblLayout w:type="fixed"/>
        <w:tblInd w:w="10" w:type="dxa"/>
        <w:tblCellMar>
          <w:top w:w="0" w:type="dxa"/>
          <w:left w:w="0" w:type="dxa"/>
          <w:bottom w:w="0" w:type="dxa"/>
          <w:right w:w="0" w:type="dxa"/>
        </w:tblCellMar>
      </w:tblPr>
      <w:tr>
        <w:trPr>
          <w:trHeight w:val="250"/>
        </w:trPr>
        <w:tc>
          <w:tcPr>
            <w:tcW w:w="47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8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7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193"/>
        </w:trPr>
        <w:tc>
          <w:tcPr>
            <w:tcW w:w="4740" w:type="dxa"/>
            <w:vAlign w:val="bottom"/>
            <w:tcBorders>
              <w:left w:val="single" w:sz="8" w:color="auto"/>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80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rPr>
              <w:t>RGNX</w:t>
            </w:r>
          </w:p>
        </w:tc>
        <w:tc>
          <w:tcPr>
            <w:tcW w:w="470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The Nasdaq Global Select Market</w:t>
            </w:r>
          </w:p>
        </w:tc>
      </w:tr>
    </w:tbl>
    <w:p>
      <w:pPr>
        <w:spacing w:after="0" w:line="49" w:lineRule="exact"/>
        <w:rPr>
          <w:sz w:val="24"/>
          <w:szCs w:val="24"/>
          <w:color w:val="auto"/>
        </w:rPr>
      </w:pPr>
    </w:p>
    <w:p>
      <w:pPr>
        <w:ind w:right="30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36" w:lineRule="exact"/>
        <w:rPr>
          <w:sz w:val="24"/>
          <w:szCs w:val="24"/>
          <w:color w:val="auto"/>
        </w:rPr>
      </w:pPr>
    </w:p>
    <w:p>
      <w:pPr>
        <w:ind w:right="8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56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5260" w:type="dxa"/>
            <w:vAlign w:val="bottom"/>
          </w:tcPr>
          <w:p>
            <w:pPr>
              <w:ind w:left="3060"/>
              <w:spacing w:after="0"/>
              <w:rPr>
                <w:sz w:val="20"/>
                <w:szCs w:val="20"/>
                <w:color w:val="auto"/>
              </w:rPr>
            </w:pPr>
            <w:r>
              <w:rPr>
                <w:rFonts w:ascii="Times New Roman" w:cs="Times New Roman" w:eastAsia="Times New Roman" w:hAnsi="Times New Roman"/>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56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5260" w:type="dxa"/>
            <w:vAlign w:val="bottom"/>
          </w:tcPr>
          <w:p>
            <w:pPr>
              <w:ind w:left="30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198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5260" w:type="dxa"/>
            <w:vAlign w:val="bottom"/>
          </w:tcPr>
          <w:p>
            <w:pPr>
              <w:ind w:left="3060"/>
              <w:spacing w:after="0"/>
              <w:rPr>
                <w:sz w:val="20"/>
                <w:szCs w:val="20"/>
                <w:color w:val="auto"/>
              </w:rPr>
            </w:pPr>
            <w:r>
              <w:rPr>
                <w:rFonts w:ascii="Times New Roman" w:cs="Times New Roman" w:eastAsia="Times New Roman" w:hAnsi="Times New Roman"/>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3"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spacing w:after="0" w:line="207" w:lineRule="exact"/>
        <w:tabs>
          <w:tab w:leader="none" w:pos="8340" w:val="left"/>
          <w:tab w:leader="none" w:pos="906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11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October 30, 2026, there were 66,122,600 shares of the registrant’s common stock, par value $0.0001 per share,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681990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REGENXBIO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2026</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980" w:type="dxa"/>
            <w:vAlign w:val="bottom"/>
            <w:gridSpan w:val="9"/>
          </w:tcPr>
          <w:p>
            <w:pPr>
              <w:ind w:left="3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900" w:type="dxa"/>
            <w:vAlign w:val="bottom"/>
          </w:tcPr>
          <w:p>
            <w:pPr>
              <w:spacing w:after="0"/>
              <w:rPr>
                <w:sz w:val="20"/>
                <w:szCs w:val="20"/>
                <w:color w:val="auto"/>
              </w:rPr>
            </w:pPr>
          </w:p>
        </w:tc>
      </w:tr>
      <w:tr>
        <w:trPr>
          <w:trHeight w:val="432"/>
        </w:trPr>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120" w:type="dxa"/>
            <w:vAlign w:val="bottom"/>
            <w:gridSpan w:val="10"/>
          </w:tcPr>
          <w:p>
            <w:pPr>
              <w:jc w:val="center"/>
              <w:ind w:right="2940"/>
              <w:spacing w:after="0"/>
              <w:rPr>
                <w:sz w:val="20"/>
                <w:szCs w:val="20"/>
                <w:color w:val="auto"/>
              </w:rPr>
            </w:pPr>
            <w:r>
              <w:rPr>
                <w:rFonts w:ascii="Times New Roman" w:cs="Times New Roman" w:eastAsia="Times New Roman" w:hAnsi="Times New Roman"/>
                <w:sz w:val="18"/>
                <w:szCs w:val="18"/>
                <w:b w:val="1"/>
                <w:bCs w:val="1"/>
                <w:color w:val="0000FF"/>
                <w:w w:val="99"/>
              </w:rPr>
              <w:t>PART I—FINANCIAL INFORMATION</w:t>
            </w:r>
          </w:p>
        </w:tc>
        <w:tc>
          <w:tcPr>
            <w:tcW w:w="900" w:type="dxa"/>
            <w:vAlign w:val="bottom"/>
          </w:tcPr>
          <w:p>
            <w:pPr>
              <w:spacing w:after="0"/>
              <w:rPr>
                <w:sz w:val="24"/>
                <w:szCs w:val="24"/>
                <w:color w:val="auto"/>
              </w:rPr>
            </w:pPr>
          </w:p>
        </w:tc>
      </w:tr>
      <w:tr>
        <w:trPr>
          <w:trHeight w:val="318"/>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242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Financial Statements (Unaudited)</w:t>
            </w:r>
          </w:p>
        </w:tc>
        <w:tc>
          <w:tcPr>
            <w:tcW w:w="20" w:type="dxa"/>
            <w:vAlign w:val="bottom"/>
            <w:tcBorders>
              <w:bottom w:val="single" w:sz="8" w:color="0000EE"/>
            </w:tcBorders>
          </w:tcPr>
          <w:p>
            <w:pPr>
              <w:spacing w:after="0"/>
              <w:rPr>
                <w:sz w:val="24"/>
                <w:szCs w:val="24"/>
                <w:color w:val="auto"/>
              </w:rPr>
            </w:pPr>
          </w:p>
        </w:tc>
        <w:tc>
          <w:tcPr>
            <w:tcW w:w="740" w:type="dxa"/>
            <w:vAlign w:val="bottom"/>
            <w:gridSpan w:val="2"/>
          </w:tcPr>
          <w:p>
            <w:pPr>
              <w:spacing w:after="0"/>
              <w:rPr>
                <w:sz w:val="24"/>
                <w:szCs w:val="24"/>
                <w:color w:val="auto"/>
              </w:rPr>
            </w:pPr>
          </w:p>
        </w:tc>
        <w:tc>
          <w:tcPr>
            <w:tcW w:w="3180" w:type="dxa"/>
            <w:vAlign w:val="bottom"/>
            <w:tcBorders>
              <w:top w:val="single" w:sz="8" w:color="0000FF"/>
            </w:tcBorders>
            <w:gridSpan w:val="5"/>
          </w:tcPr>
          <w:p>
            <w:pPr>
              <w:spacing w:after="0"/>
              <w:rPr>
                <w:sz w:val="24"/>
                <w:szCs w:val="24"/>
                <w:color w:val="auto"/>
              </w:rPr>
            </w:pPr>
          </w:p>
        </w:tc>
        <w:tc>
          <w:tcPr>
            <w:tcW w:w="2940" w:type="dxa"/>
            <w:vAlign w:val="bottom"/>
            <w:gridSpan w:val="5"/>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196"/>
        </w:trPr>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30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Consolidated Balance Sheets as of September 30, 2026 and December 31, 2025</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20"/>
        </w:trPr>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4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440" w:type="dxa"/>
            <w:vAlign w:val="bottom"/>
            <w:tcBorders>
              <w:right w:val="single" w:sz="8" w:color="0000EE"/>
            </w:tcBorders>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300" w:type="dxa"/>
            <w:vAlign w:val="bottom"/>
            <w:tcBorders>
              <w:bottom w:val="single" w:sz="8" w:color="0000FF"/>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Operations and Comprehensive Loss for the Three and Nine Months Ended September 30, 2026 and</w:t>
            </w:r>
          </w:p>
        </w:tc>
        <w:tc>
          <w:tcPr>
            <w:tcW w:w="900" w:type="dxa"/>
            <w:vAlign w:val="bottom"/>
          </w:tcPr>
          <w:p>
            <w:pPr>
              <w:spacing w:after="0"/>
              <w:rPr>
                <w:sz w:val="17"/>
                <w:szCs w:val="17"/>
                <w:color w:val="auto"/>
              </w:rPr>
            </w:pPr>
          </w:p>
        </w:tc>
      </w:tr>
      <w:tr>
        <w:trPr>
          <w:trHeight w:val="196"/>
        </w:trPr>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gridSpan w:val="2"/>
          </w:tcPr>
          <w:p>
            <w:pPr>
              <w:ind w:left="220"/>
              <w:spacing w:after="0" w:line="196" w:lineRule="exact"/>
              <w:rPr>
                <w:sz w:val="20"/>
                <w:szCs w:val="20"/>
                <w:color w:val="auto"/>
              </w:rPr>
            </w:pPr>
            <w:r>
              <w:rPr>
                <w:rFonts w:ascii="Times New Roman" w:cs="Times New Roman" w:eastAsia="Times New Roman" w:hAnsi="Times New Roman"/>
                <w:sz w:val="18"/>
                <w:szCs w:val="18"/>
                <w:color w:val="0000FF"/>
                <w:w w:val="94"/>
              </w:rPr>
              <w:t>2025</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20"/>
        </w:trPr>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30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Stockholders’ Equity for the Three and Nine Months Ended September 30, 2026 and 2025</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196"/>
        </w:trPr>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80" w:type="dxa"/>
            <w:vAlign w:val="bottom"/>
            <w:tcBorders>
              <w:top w:val="single" w:sz="8" w:color="0000FF"/>
              <w:bottom w:val="single" w:sz="8" w:color="0000FF"/>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FF"/>
                <w:w w:val="99"/>
              </w:rPr>
              <w:t>Consolidated Statements of Cash Flows for the Nine Months Ended September 30, 2026 and 2025</w:t>
            </w:r>
          </w:p>
        </w:tc>
        <w:tc>
          <w:tcPr>
            <w:tcW w:w="1440" w:type="dxa"/>
            <w:vAlign w:val="bottom"/>
            <w:tcBorders>
              <w:top w:val="single" w:sz="8" w:color="0000FF"/>
            </w:tcBorders>
            <w:gridSpan w:val="2"/>
          </w:tcPr>
          <w:p>
            <w:pPr>
              <w:spacing w:after="0"/>
              <w:rPr>
                <w:sz w:val="17"/>
                <w:szCs w:val="17"/>
                <w:color w:val="auto"/>
              </w:rPr>
            </w:pPr>
          </w:p>
        </w:tc>
        <w:tc>
          <w:tcPr>
            <w:tcW w:w="78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196"/>
        </w:trPr>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30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20"/>
        </w:trPr>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40" w:type="dxa"/>
            <w:vAlign w:val="bottom"/>
            <w:tcBorders>
              <w:right w:val="single" w:sz="8" w:color="0000EE"/>
            </w:tcBorders>
            <w:gridSpan w:val="3"/>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0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r>
      <w:tr>
        <w:trPr>
          <w:trHeight w:val="196"/>
        </w:trPr>
        <w:tc>
          <w:tcPr>
            <w:tcW w:w="10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6460" w:type="dxa"/>
            <w:vAlign w:val="bottom"/>
            <w:tcBorders>
              <w:top w:val="single" w:sz="8" w:color="0000FF"/>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2840" w:type="dxa"/>
            <w:vAlign w:val="bottom"/>
            <w:gridSpan w:val="4"/>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43</w:t>
            </w:r>
          </w:p>
        </w:tc>
      </w:tr>
      <w:tr>
        <w:trPr>
          <w:trHeight w:val="196"/>
        </w:trPr>
        <w:tc>
          <w:tcPr>
            <w:tcW w:w="10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4300" w:type="dxa"/>
            <w:vAlign w:val="bottom"/>
            <w:tcBorders>
              <w:top w:val="single" w:sz="8" w:color="0000FF"/>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5000" w:type="dxa"/>
            <w:vAlign w:val="bottom"/>
            <w:gridSpan w:val="8"/>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43</w:t>
            </w:r>
          </w:p>
        </w:tc>
      </w:tr>
      <w:tr>
        <w:trPr>
          <w:trHeight w:val="318"/>
        </w:trPr>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90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0000FF"/>
              </w:rPr>
              <w:t>PART II—OTHER INFORMATION</w:t>
            </w:r>
          </w:p>
        </w:tc>
        <w:tc>
          <w:tcPr>
            <w:tcW w:w="3080" w:type="dxa"/>
            <w:vAlign w:val="bottom"/>
            <w:gridSpan w:val="6"/>
          </w:tcPr>
          <w:p>
            <w:pPr>
              <w:spacing w:after="0"/>
              <w:rPr>
                <w:sz w:val="24"/>
                <w:szCs w:val="24"/>
                <w:color w:val="auto"/>
              </w:rPr>
            </w:pPr>
          </w:p>
        </w:tc>
        <w:tc>
          <w:tcPr>
            <w:tcW w:w="900" w:type="dxa"/>
            <w:vAlign w:val="bottom"/>
          </w:tcPr>
          <w:p>
            <w:pPr>
              <w:spacing w:after="0"/>
              <w:rPr>
                <w:sz w:val="24"/>
                <w:szCs w:val="24"/>
                <w:color w:val="auto"/>
              </w:rPr>
            </w:pPr>
          </w:p>
        </w:tc>
      </w:tr>
      <w:tr>
        <w:trPr>
          <w:trHeight w:val="318"/>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196"/>
        </w:trPr>
        <w:tc>
          <w:tcPr>
            <w:tcW w:w="10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top w:val="single" w:sz="8" w:color="0000FF"/>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7"/>
              </w:rPr>
              <w:t>Risk Factors</w:t>
            </w:r>
          </w:p>
        </w:tc>
        <w:tc>
          <w:tcPr>
            <w:tcW w:w="20" w:type="dxa"/>
            <w:vAlign w:val="bottom"/>
            <w:tcBorders>
              <w:top w:val="single" w:sz="8" w:color="0000FF"/>
              <w:bottom w:val="single" w:sz="8" w:color="0000EE"/>
            </w:tcBorders>
          </w:tcPr>
          <w:p>
            <w:pPr>
              <w:spacing w:after="0"/>
              <w:rPr>
                <w:sz w:val="17"/>
                <w:szCs w:val="17"/>
                <w:color w:val="auto"/>
              </w:rPr>
            </w:pPr>
          </w:p>
        </w:tc>
        <w:tc>
          <w:tcPr>
            <w:tcW w:w="400" w:type="dxa"/>
            <w:vAlign w:val="bottom"/>
            <w:tcBorders>
              <w:top w:val="single" w:sz="8" w:color="0000FF"/>
            </w:tcBorders>
            <w:gridSpan w:val="2"/>
          </w:tcPr>
          <w:p>
            <w:pPr>
              <w:spacing w:after="0"/>
              <w:rPr>
                <w:sz w:val="17"/>
                <w:szCs w:val="17"/>
                <w:color w:val="auto"/>
              </w:rPr>
            </w:pPr>
          </w:p>
        </w:tc>
        <w:tc>
          <w:tcPr>
            <w:tcW w:w="7980" w:type="dxa"/>
            <w:vAlign w:val="bottom"/>
            <w:gridSpan w:val="16"/>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45</w:t>
            </w:r>
          </w:p>
        </w:tc>
      </w:tr>
      <w:tr>
        <w:trPr>
          <w:trHeight w:val="196"/>
        </w:trPr>
        <w:tc>
          <w:tcPr>
            <w:tcW w:w="10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7100" w:type="dxa"/>
            <w:vAlign w:val="bottom"/>
            <w:tcBorders>
              <w:bottom w:val="single" w:sz="8" w:color="0000FF"/>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FF"/>
                <w:w w:val="99"/>
              </w:rPr>
              <w:t>Unregistered Sales of Equity Securities, Use of Proceeds and Issuer Purchases of Equity Securities</w:t>
            </w:r>
          </w:p>
        </w:tc>
        <w:tc>
          <w:tcPr>
            <w:tcW w:w="2200" w:type="dxa"/>
            <w:vAlign w:val="bottom"/>
            <w:gridSpan w:val="2"/>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45</w:t>
            </w:r>
          </w:p>
        </w:tc>
      </w:tr>
      <w:tr>
        <w:trPr>
          <w:trHeight w:val="196"/>
        </w:trPr>
        <w:tc>
          <w:tcPr>
            <w:tcW w:w="10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2320" w:type="dxa"/>
            <w:vAlign w:val="bottom"/>
            <w:tcBorders>
              <w:bottom w:val="single" w:sz="8" w:color="0000FF"/>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FF"/>
                <w:w w:val="98"/>
              </w:rPr>
              <w:t>Defaults Upon Senior Securities</w:t>
            </w:r>
          </w:p>
        </w:tc>
        <w:tc>
          <w:tcPr>
            <w:tcW w:w="6980" w:type="dxa"/>
            <w:vAlign w:val="bottom"/>
            <w:gridSpan w:val="14"/>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45</w:t>
            </w:r>
          </w:p>
        </w:tc>
      </w:tr>
      <w:tr>
        <w:trPr>
          <w:trHeight w:val="196"/>
        </w:trPr>
        <w:tc>
          <w:tcPr>
            <w:tcW w:w="10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30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45</w:t>
            </w:r>
          </w:p>
        </w:tc>
      </w:tr>
      <w:tr>
        <w:trPr>
          <w:trHeight w:val="196"/>
        </w:trPr>
        <w:tc>
          <w:tcPr>
            <w:tcW w:w="10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1760" w:type="dxa"/>
            <w:vAlign w:val="bottom"/>
            <w:tcBorders>
              <w:top w:val="single" w:sz="8" w:color="0000FF"/>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7540" w:type="dxa"/>
            <w:vAlign w:val="bottom"/>
            <w:gridSpan w:val="15"/>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45</w:t>
            </w:r>
          </w:p>
        </w:tc>
      </w:tr>
      <w:tr>
        <w:trPr>
          <w:trHeight w:val="196"/>
        </w:trPr>
        <w:tc>
          <w:tcPr>
            <w:tcW w:w="10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1300" w:type="dxa"/>
            <w:vAlign w:val="bottom"/>
            <w:tcBorders>
              <w:top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Exhibits</w:t>
            </w:r>
          </w:p>
        </w:tc>
        <w:tc>
          <w:tcPr>
            <w:tcW w:w="8000" w:type="dxa"/>
            <w:vAlign w:val="bottom"/>
            <w:gridSpan w:val="17"/>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46</w:t>
            </w:r>
          </w:p>
        </w:tc>
      </w:tr>
      <w:tr>
        <w:trPr>
          <w:trHeight w:val="196"/>
        </w:trPr>
        <w:tc>
          <w:tcPr>
            <w:tcW w:w="10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FF"/>
              </w:rPr>
              <w:t>Signatures</w:t>
            </w:r>
          </w:p>
        </w:tc>
        <w:tc>
          <w:tcPr>
            <w:tcW w:w="24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47</w:t>
            </w:r>
          </w:p>
        </w:tc>
      </w:tr>
      <w:tr>
        <w:trPr>
          <w:trHeight w:val="999"/>
        </w:trPr>
        <w:tc>
          <w:tcPr>
            <w:tcW w:w="760" w:type="dxa"/>
            <w:vAlign w:val="bottom"/>
            <w:tcBorders>
              <w:top w:val="single" w:sz="8" w:color="0000FF"/>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1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INFORMATION REGARDING FORWARD-LOOKING STATEMENTS</w:t>
      </w:r>
    </w:p>
    <w:p>
      <w:pPr>
        <w:spacing w:after="0" w:line="22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Section 27A of the Securities Act of 1933, as amended (the Securities Act), and Section 21E of the Securities Exchange Act of 1934, as amended (the Exchange Act). These statements express a belief, expectation or intention and are generally accompanied by words that convey projected future events or outcomes such as “anticipate,” “assume,” “believe,” “continue,” “could,” “design,” “estimate,” “expect,” “forecast,” “goal,” “intend,” “may,” “objective,” “plan,” “position,” “potential,” “predict,” “project,” “seek,” “should,” “will,” “would” or variations of such words or by similar expressions. We have based these forward-looking statements on our current expectations, estimates and assumptions and analyses in light of our experience and our perception of historical trends, current conditions and expected future developments, as well as other factors we believe are appropriate under the circumstances. However, whether actual results and developments will conform with our expectations and predictions is subject to a number of risks, uncertainties, assumptions and other important factors, including, but not limited to:</w:t>
      </w:r>
    </w:p>
    <w:p>
      <w:pPr>
        <w:spacing w:after="0" w:line="188" w:lineRule="exact"/>
        <w:rPr>
          <w:sz w:val="20"/>
          <w:szCs w:val="20"/>
          <w:color w:val="auto"/>
        </w:rPr>
      </w:pPr>
    </w:p>
    <w:p>
      <w:pPr>
        <w:ind w:left="1020" w:right="16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development partnerships, including our collaboration with AbbVie to develop and commercialize ABBV-RGX-314 (surabgene lomparvovec, sura-vec) and our collaboration with Nippon Shinyaku Co., Ltd. to develop and commercialize RGX-121 (clemidsogene lanparvovec) and RGX-111;</w:t>
      </w:r>
    </w:p>
    <w:p>
      <w:pPr>
        <w:spacing w:after="0" w:line="67"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including under accelerated approval, and maintain regulatory approval of our product candidates, the labeling for any approved products and our ability to receive priority review vouchers for approved products;</w:t>
      </w:r>
    </w:p>
    <w:p>
      <w:pPr>
        <w:spacing w:after="0" w:line="53" w:lineRule="exact"/>
        <w:rPr>
          <w:rFonts w:ascii="Times New Roman" w:cs="Times New Roman" w:eastAsia="Times New Roman" w:hAnsi="Times New Roman"/>
          <w:sz w:val="18"/>
          <w:szCs w:val="18"/>
          <w:color w:val="auto"/>
        </w:rPr>
      </w:pPr>
    </w:p>
    <w:p>
      <w:pPr>
        <w:ind w:left="1020" w:right="58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address any deficiencies raised by the U.S. Food and Drug Administration (the FDA) regarding RGX-121 as part of the Complete Response Letter or subsequent clinical hold;</w:t>
      </w:r>
    </w:p>
    <w:p>
      <w:pPr>
        <w:spacing w:after="0" w:line="12" w:lineRule="exact"/>
        <w:rPr>
          <w:rFonts w:ascii="Times New Roman" w:cs="Times New Roman" w:eastAsia="Times New Roman" w:hAnsi="Times New Roman"/>
          <w:sz w:val="18"/>
          <w:szCs w:val="18"/>
          <w:color w:val="auto"/>
        </w:rPr>
      </w:pPr>
    </w:p>
    <w:p>
      <w:pPr>
        <w:ind w:left="1020" w:hanging="503"/>
        <w:spacing w:after="0" w:line="207" w:lineRule="exact"/>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resolve the partial clinical hold for RGX</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111 to the satisfaction of the FDA;</w:t>
      </w:r>
    </w:p>
    <w:p>
      <w:pPr>
        <w:spacing w:after="0" w:line="171" w:lineRule="exact"/>
        <w:rPr>
          <w:rFonts w:ascii="Times New Roman" w:cs="Times New Roman" w:eastAsia="Times New Roman" w:hAnsi="Times New Roman"/>
          <w:sz w:val="18"/>
          <w:szCs w:val="18"/>
          <w:color w:val="auto"/>
        </w:rPr>
      </w:pPr>
    </w:p>
    <w:p>
      <w:pPr>
        <w:ind w:left="1020" w:right="300" w:hanging="503"/>
        <w:spacing w:after="0" w:line="251" w:lineRule="auto"/>
        <w:tabs>
          <w:tab w:leader="none" w:pos="10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of enrollment, commencement, completion and the success of our AAVIATE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 AFFINITY BEYOND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 AFFINITY DUCHENNE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 AFFINITY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 xml:space="preserve"> RISE, ALTITUDE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 ASCENT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 ATMOSPHERE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 CAMPSIITE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 NAAVIGATE and other clinical trials;</w:t>
      </w: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commencement and completion and the success of preclinical studies conducted by us and our development partners;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timely development and launch of new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expansion and costs of developing and commercializing our product candidates;</w:t>
      </w:r>
    </w:p>
    <w:p>
      <w:pPr>
        <w:spacing w:after="0" w:line="117" w:lineRule="exact"/>
        <w:rPr>
          <w:rFonts w:ascii="Times New Roman" w:cs="Times New Roman" w:eastAsia="Times New Roman" w:hAnsi="Times New Roman"/>
          <w:sz w:val="18"/>
          <w:szCs w:val="18"/>
          <w:color w:val="auto"/>
        </w:rPr>
      </w:pPr>
    </w:p>
    <w:p>
      <w:pPr>
        <w:ind w:left="1020" w:right="3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maintain and enforce intellectual property protection for our product candidates and technology, and defend against third-party intellectual property-related claims;</w:t>
      </w:r>
    </w:p>
    <w:p>
      <w:pPr>
        <w:spacing w:after="0" w:line="53" w:lineRule="exact"/>
        <w:rPr>
          <w:rFonts w:ascii="Times New Roman" w:cs="Times New Roman" w:eastAsia="Times New Roman" w:hAnsi="Times New Roman"/>
          <w:sz w:val="18"/>
          <w:szCs w:val="18"/>
          <w:color w:val="auto"/>
        </w:rPr>
      </w:pPr>
    </w:p>
    <w:p>
      <w:pPr>
        <w:ind w:left="1020" w:right="34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development and commercialization of product candidates currently being developed by third parties that utilize our technology;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growth strategies;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competition;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trends and challenges in our business and the market in which we operate;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or retain key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of the potential markets for our product candidates and the ability to serve those markets;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of any of our products that are approved;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expenses and revenue;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need for additional financing and our ability to obtain additional financing;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outcome of legal proceedings;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regulatory developments in the United States and foreign countries;</w:t>
      </w:r>
    </w:p>
    <w:p>
      <w:pPr>
        <w:spacing w:after="0" w:line="117"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government-imposed tariffs or other trade barriers on cost of goods and services, particularly related to partnered product candidates;</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9" w:right="3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19" w:lineRule="exact"/>
        <w:rPr>
          <w:sz w:val="20"/>
          <w:szCs w:val="20"/>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as a going concern; and</w:t>
      </w:r>
    </w:p>
    <w:p>
      <w:pPr>
        <w:spacing w:after="0" w:line="117"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financial markets and banking system that may affect the availability and terms on which we may obtain financing and our ability to accurately predict how long our existing cash resources will be sufficient to fund our anticipated operating expenses.</w:t>
      </w:r>
    </w:p>
    <w:p>
      <w:pPr>
        <w:spacing w:after="0" w:line="16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You should carefully read the factors discussed in the sections titled “Risk Factors,” “Management’s Discussion and Analysis of Financial Condition and Results of Operations,” and the factors discussed elsewhere in this Quarterly Report on Form 10-Q, our Annual Report on Form 10-K for the year ended December 31, 2025 and in our other filings with the U.S. Securities and Exchange Commission (the SEC) for additional discussion of the risks, uncertainties, assumptions and other important factors that could cause our actual results or developments to differ materially and adversely from those projected in the forward-looking statements. The actual results or developments anticipated may not be realized or, even if substantially realized, they may not have the expected consequences to or effects on us or our businesses or operations. Such statements are not guarantees of future performance, and actual results or developments may differ materially and adversely from those projected in the forward-looking statements. These forward-looking statements speak only as of the date of this Quarterly Report on Form 10-Q. Except as required by law, we disclaim any duty to update any forward-looking statements, whether as a result of new information, future events or otherwise.</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2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Our principal offices are located at 9804 Medical Center Drive, Rockville, MD 20850, and our telephone number is (240) 552-8181. Our website address is www.regenxbio.com. The information contained in, or that can be accessed through, our website is not a part of, or incorporated by reference in, this Quarterly Report on Form 10-Q. We file annual, quarterly, and current reports, proxy statements, and other documents with the SEC under the Exchange Act. You may obtain any reports, proxy and information statements, and other information that we file electronically with the SEC at www.sec.gov.</w:t>
      </w:r>
    </w:p>
    <w:p>
      <w:pPr>
        <w:spacing w:after="0" w:line="183"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You also may view and download copies of our SEC filings free of charge at our website as soon as reasonably practicable after we electronically file such material with, or furnish it to, the SEC. The information contained on, or that can be accessed through, our website will not be deemed to be incorporated by reference in, and is not considered part of, this Quarterly Report on Form 10-Q. Investors should also note that we use our website, as well as SEC filings, press releases, public conference calls and webcasts, to announce financial information and other material developments regarding our business. We use these channels, as well as any social media channels listed on our website, to communicate with investors and members of the public about our business. It is possible that the information that we post on our social media channels could be deemed material information. Therefore, we encourage investors, the media and others interested in our company to review the information that we post on our social media channels.</w:t>
      </w:r>
    </w:p>
    <w:p>
      <w:pPr>
        <w:spacing w:after="0" w:line="189"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As used in this Quarterly Report on Form 10-Q, the terms “REGENXBIO,” “we,” “us,” “our” or the “Company” mean REGENXBIO Inc. and its subsidiaries, on a consolidated basis, unless the context indicates otherwise.</w:t>
      </w:r>
    </w:p>
    <w:p>
      <w:pPr>
        <w:spacing w:after="0" w:line="162" w:lineRule="exact"/>
        <w:rPr>
          <w:sz w:val="20"/>
          <w:szCs w:val="20"/>
          <w:color w:val="auto"/>
        </w:rPr>
      </w:pPr>
    </w:p>
    <w:p>
      <w:pPr>
        <w:ind w:right="460" w:firstLine="509"/>
        <w:spacing w:after="0" w:line="266" w:lineRule="auto"/>
        <w:rPr>
          <w:sz w:val="20"/>
          <w:szCs w:val="20"/>
          <w:color w:val="auto"/>
        </w:rPr>
      </w:pPr>
      <w:r>
        <w:rPr>
          <w:rFonts w:ascii="Times New Roman" w:cs="Times New Roman" w:eastAsia="Times New Roman" w:hAnsi="Times New Roman"/>
          <w:sz w:val="18"/>
          <w:szCs w:val="18"/>
          <w:color w:val="auto"/>
        </w:rPr>
        <w:t>AAVIATE, AFFINITY, AFFINITY BEYOND, AFFINITY DUCHENNE, ALTITUDE, ASCENT, ATMOSPHERE, CAMPSIITE, NAV, NAVXpress, NAVXcell, REGENXBIO and the REGENXBIO logos are our registered trademarks. Any other trademarks appearing in this Quarterly Report on Form 10-Q are the property of their respective holders.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REGENXBIO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0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09"/>
        </w:trPr>
        <w:tc>
          <w:tcPr>
            <w:tcW w:w="7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74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95,795</w:t>
            </w:r>
          </w:p>
        </w:tc>
        <w:tc>
          <w:tcPr>
            <w:tcW w:w="16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34,466</w:t>
            </w:r>
          </w:p>
        </w:tc>
        <w:tc>
          <w:tcPr>
            <w:tcW w:w="100" w:type="dxa"/>
            <w:vAlign w:val="bottom"/>
            <w:shd w:val="clear" w:color="auto" w:fill="CFF0FC"/>
          </w:tcPr>
          <w:p>
            <w:pPr>
              <w:spacing w:after="0"/>
              <w:rPr>
                <w:sz w:val="18"/>
                <w:szCs w:val="18"/>
                <w:color w:val="auto"/>
              </w:rPr>
            </w:pPr>
          </w:p>
        </w:tc>
      </w:tr>
      <w:tr>
        <w:trPr>
          <w:trHeight w:val="216"/>
        </w:trPr>
        <w:tc>
          <w:tcPr>
            <w:tcW w:w="7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Marketable securities</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155,181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195,604</w:t>
            </w:r>
          </w:p>
        </w:tc>
        <w:tc>
          <w:tcPr>
            <w:tcW w:w="100" w:type="dxa"/>
            <w:vAlign w:val="bottom"/>
          </w:tcPr>
          <w:p>
            <w:pPr>
              <w:spacing w:after="0"/>
              <w:rPr>
                <w:sz w:val="18"/>
                <w:szCs w:val="18"/>
                <w:color w:val="auto"/>
              </w:rPr>
            </w:pPr>
          </w:p>
        </w:tc>
      </w:tr>
      <w:tr>
        <w:trPr>
          <w:trHeight w:val="216"/>
        </w:trPr>
        <w:tc>
          <w:tcPr>
            <w:tcW w:w="70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Accounts receivable</w:t>
            </w: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8,536</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26,379</w:t>
            </w:r>
          </w:p>
        </w:tc>
        <w:tc>
          <w:tcPr>
            <w:tcW w:w="100" w:type="dxa"/>
            <w:vAlign w:val="bottom"/>
            <w:shd w:val="clear" w:color="auto" w:fill="CFF0FC"/>
          </w:tcPr>
          <w:p>
            <w:pPr>
              <w:spacing w:after="0"/>
              <w:rPr>
                <w:sz w:val="18"/>
                <w:szCs w:val="18"/>
                <w:color w:val="auto"/>
              </w:rPr>
            </w:pPr>
          </w:p>
        </w:tc>
      </w:tr>
      <w:tr>
        <w:trPr>
          <w:trHeight w:val="216"/>
        </w:trPr>
        <w:tc>
          <w:tcPr>
            <w:tcW w:w="7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Prepaid expenses</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11,927</w:t>
            </w:r>
          </w:p>
        </w:tc>
        <w:tc>
          <w:tcPr>
            <w:tcW w:w="100" w:type="dxa"/>
            <w:vAlign w:val="bottom"/>
          </w:tcPr>
          <w:p>
            <w:pPr>
              <w:spacing w:after="0"/>
              <w:rPr>
                <w:sz w:val="18"/>
                <w:szCs w:val="18"/>
                <w:color w:val="auto"/>
              </w:rPr>
            </w:pPr>
          </w:p>
        </w:tc>
      </w:tr>
      <w:tr>
        <w:trPr>
          <w:trHeight w:val="216"/>
        </w:trPr>
        <w:tc>
          <w:tcPr>
            <w:tcW w:w="70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current assets</w:t>
            </w:r>
          </w:p>
        </w:tc>
        <w:tc>
          <w:tcPr>
            <w:tcW w:w="7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48,146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12,905</w:t>
            </w:r>
          </w:p>
        </w:tc>
        <w:tc>
          <w:tcPr>
            <w:tcW w:w="100" w:type="dxa"/>
            <w:vAlign w:val="bottom"/>
          </w:tcPr>
          <w:p>
            <w:pPr>
              <w:spacing w:after="0"/>
              <w:rPr>
                <w:sz w:val="18"/>
                <w:szCs w:val="18"/>
                <w:color w:val="auto"/>
              </w:rPr>
            </w:pPr>
          </w:p>
        </w:tc>
      </w:tr>
      <w:tr>
        <w:trPr>
          <w:trHeight w:val="210"/>
        </w:trPr>
        <w:tc>
          <w:tcPr>
            <w:tcW w:w="70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current assets</w:t>
            </w: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320,892</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281,281</w:t>
            </w:r>
          </w:p>
        </w:tc>
        <w:tc>
          <w:tcPr>
            <w:tcW w:w="100" w:type="dxa"/>
            <w:vAlign w:val="bottom"/>
            <w:shd w:val="clear" w:color="auto" w:fill="CFF0FC"/>
          </w:tcPr>
          <w:p>
            <w:pPr>
              <w:spacing w:after="0"/>
              <w:rPr>
                <w:sz w:val="18"/>
                <w:szCs w:val="18"/>
                <w:color w:val="auto"/>
              </w:rPr>
            </w:pPr>
          </w:p>
        </w:tc>
      </w:tr>
      <w:tr>
        <w:trPr>
          <w:trHeight w:val="216"/>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10,785</w:t>
            </w:r>
          </w:p>
        </w:tc>
        <w:tc>
          <w:tcPr>
            <w:tcW w:w="100" w:type="dxa"/>
            <w:vAlign w:val="bottom"/>
          </w:tcPr>
          <w:p>
            <w:pPr>
              <w:spacing w:after="0"/>
              <w:rPr>
                <w:sz w:val="18"/>
                <w:szCs w:val="18"/>
                <w:color w:val="auto"/>
              </w:rPr>
            </w:pPr>
          </w:p>
        </w:tc>
      </w:tr>
      <w:tr>
        <w:trPr>
          <w:trHeight w:val="216"/>
        </w:trPr>
        <w:tc>
          <w:tcPr>
            <w:tcW w:w="7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2,312</w:t>
            </w:r>
          </w:p>
        </w:tc>
        <w:tc>
          <w:tcPr>
            <w:tcW w:w="100" w:type="dxa"/>
            <w:vAlign w:val="bottom"/>
            <w:shd w:val="clear" w:color="auto" w:fill="CFF0FC"/>
          </w:tcPr>
          <w:p>
            <w:pPr>
              <w:spacing w:after="0"/>
              <w:rPr>
                <w:sz w:val="18"/>
                <w:szCs w:val="18"/>
                <w:color w:val="auto"/>
              </w:rPr>
            </w:pPr>
          </w:p>
        </w:tc>
      </w:tr>
      <w:tr>
        <w:trPr>
          <w:trHeight w:val="216"/>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95,347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104,855</w:t>
            </w:r>
          </w:p>
        </w:tc>
        <w:tc>
          <w:tcPr>
            <w:tcW w:w="100" w:type="dxa"/>
            <w:vAlign w:val="bottom"/>
          </w:tcPr>
          <w:p>
            <w:pPr>
              <w:spacing w:after="0"/>
              <w:rPr>
                <w:sz w:val="18"/>
                <w:szCs w:val="18"/>
                <w:color w:val="auto"/>
              </w:rPr>
            </w:pPr>
          </w:p>
        </w:tc>
      </w:tr>
      <w:tr>
        <w:trPr>
          <w:trHeight w:val="216"/>
        </w:trPr>
        <w:tc>
          <w:tcPr>
            <w:tcW w:w="7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42,246</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47,156</w:t>
            </w:r>
          </w:p>
        </w:tc>
        <w:tc>
          <w:tcPr>
            <w:tcW w:w="100" w:type="dxa"/>
            <w:vAlign w:val="bottom"/>
            <w:shd w:val="clear" w:color="auto" w:fill="CFF0FC"/>
          </w:tcPr>
          <w:p>
            <w:pPr>
              <w:spacing w:after="0"/>
              <w:rPr>
                <w:sz w:val="18"/>
                <w:szCs w:val="18"/>
                <w:color w:val="auto"/>
              </w:rPr>
            </w:pPr>
          </w:p>
        </w:tc>
      </w:tr>
      <w:tr>
        <w:trPr>
          <w:trHeight w:val="216"/>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2,030</w:t>
            </w:r>
          </w:p>
        </w:tc>
        <w:tc>
          <w:tcPr>
            <w:tcW w:w="100" w:type="dxa"/>
            <w:vAlign w:val="bottom"/>
          </w:tcPr>
          <w:p>
            <w:pPr>
              <w:spacing w:after="0"/>
              <w:rPr>
                <w:sz w:val="18"/>
                <w:szCs w:val="18"/>
                <w:color w:val="auto"/>
              </w:rPr>
            </w:pPr>
          </w:p>
        </w:tc>
      </w:tr>
      <w:tr>
        <w:trPr>
          <w:trHeight w:val="216"/>
        </w:trPr>
        <w:tc>
          <w:tcPr>
            <w:tcW w:w="70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7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5,300</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4,613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0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assets</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466,040</w:t>
            </w:r>
          </w:p>
        </w:tc>
        <w:tc>
          <w:tcPr>
            <w:tcW w:w="16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453,032</w:t>
            </w:r>
          </w:p>
        </w:tc>
        <w:tc>
          <w:tcPr>
            <w:tcW w:w="100" w:type="dxa"/>
            <w:vAlign w:val="bottom"/>
          </w:tcPr>
          <w:p>
            <w:pPr>
              <w:spacing w:after="0"/>
              <w:rPr>
                <w:sz w:val="18"/>
                <w:szCs w:val="18"/>
                <w:color w:val="auto"/>
              </w:rPr>
            </w:pPr>
          </w:p>
        </w:tc>
      </w:tr>
      <w:tr>
        <w:trPr>
          <w:trHeight w:val="20"/>
        </w:trPr>
        <w:tc>
          <w:tcPr>
            <w:tcW w:w="70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0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7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13,482</w:t>
            </w:r>
          </w:p>
        </w:tc>
        <w:tc>
          <w:tcPr>
            <w:tcW w:w="16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21,358</w:t>
            </w:r>
          </w:p>
        </w:tc>
        <w:tc>
          <w:tcPr>
            <w:tcW w:w="100" w:type="dxa"/>
            <w:vAlign w:val="bottom"/>
            <w:shd w:val="clear" w:color="auto" w:fill="CFF0FC"/>
          </w:tcPr>
          <w:p>
            <w:pPr>
              <w:spacing w:after="0"/>
              <w:rPr>
                <w:sz w:val="18"/>
                <w:szCs w:val="18"/>
                <w:color w:val="auto"/>
              </w:rPr>
            </w:pPr>
          </w:p>
        </w:tc>
      </w:tr>
      <w:tr>
        <w:trPr>
          <w:trHeight w:val="216"/>
        </w:trPr>
        <w:tc>
          <w:tcPr>
            <w:tcW w:w="7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29,611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38,390</w:t>
            </w:r>
          </w:p>
        </w:tc>
        <w:tc>
          <w:tcPr>
            <w:tcW w:w="100" w:type="dxa"/>
            <w:vAlign w:val="bottom"/>
          </w:tcPr>
          <w:p>
            <w:pPr>
              <w:spacing w:after="0"/>
              <w:rPr>
                <w:sz w:val="18"/>
                <w:szCs w:val="18"/>
                <w:color w:val="auto"/>
              </w:rPr>
            </w:pPr>
          </w:p>
        </w:tc>
      </w:tr>
      <w:tr>
        <w:trPr>
          <w:trHeight w:val="216"/>
        </w:trPr>
        <w:tc>
          <w:tcPr>
            <w:tcW w:w="70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Deferred revenue</w:t>
            </w: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5,985</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10,452</w:t>
            </w:r>
          </w:p>
        </w:tc>
        <w:tc>
          <w:tcPr>
            <w:tcW w:w="100" w:type="dxa"/>
            <w:vAlign w:val="bottom"/>
            <w:shd w:val="clear" w:color="auto" w:fill="CFF0FC"/>
          </w:tcPr>
          <w:p>
            <w:pPr>
              <w:spacing w:after="0"/>
              <w:rPr>
                <w:sz w:val="18"/>
                <w:szCs w:val="18"/>
                <w:color w:val="auto"/>
              </w:rPr>
            </w:pPr>
          </w:p>
        </w:tc>
      </w:tr>
      <w:tr>
        <w:trPr>
          <w:trHeight w:val="216"/>
        </w:trPr>
        <w:tc>
          <w:tcPr>
            <w:tcW w:w="7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8,286</w:t>
            </w:r>
          </w:p>
        </w:tc>
        <w:tc>
          <w:tcPr>
            <w:tcW w:w="100" w:type="dxa"/>
            <w:vAlign w:val="bottom"/>
          </w:tcPr>
          <w:p>
            <w:pPr>
              <w:spacing w:after="0"/>
              <w:rPr>
                <w:sz w:val="18"/>
                <w:szCs w:val="18"/>
                <w:color w:val="auto"/>
              </w:rPr>
            </w:pPr>
          </w:p>
        </w:tc>
      </w:tr>
      <w:tr>
        <w:trPr>
          <w:trHeight w:val="216"/>
        </w:trPr>
        <w:tc>
          <w:tcPr>
            <w:tcW w:w="70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Royalty monetization liabilities</w:t>
            </w:r>
          </w:p>
        </w:tc>
        <w:tc>
          <w:tcPr>
            <w:tcW w:w="7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12,114</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39,609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0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67,684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118,095</w:t>
            </w:r>
          </w:p>
        </w:tc>
        <w:tc>
          <w:tcPr>
            <w:tcW w:w="100" w:type="dxa"/>
            <w:vAlign w:val="bottom"/>
          </w:tcPr>
          <w:p>
            <w:pPr>
              <w:spacing w:after="0"/>
              <w:rPr>
                <w:sz w:val="18"/>
                <w:szCs w:val="18"/>
                <w:color w:val="auto"/>
              </w:rPr>
            </w:pPr>
          </w:p>
        </w:tc>
      </w:tr>
      <w:tr>
        <w:trPr>
          <w:trHeight w:val="216"/>
        </w:trPr>
        <w:tc>
          <w:tcPr>
            <w:tcW w:w="7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16,221</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18,943</w:t>
            </w:r>
          </w:p>
        </w:tc>
        <w:tc>
          <w:tcPr>
            <w:tcW w:w="100" w:type="dxa"/>
            <w:vAlign w:val="bottom"/>
            <w:shd w:val="clear" w:color="auto" w:fill="CFF0FC"/>
          </w:tcPr>
          <w:p>
            <w:pPr>
              <w:spacing w:after="0"/>
              <w:rPr>
                <w:sz w:val="18"/>
                <w:szCs w:val="18"/>
                <w:color w:val="auto"/>
              </w:rPr>
            </w:pPr>
          </w:p>
        </w:tc>
      </w:tr>
      <w:tr>
        <w:trPr>
          <w:trHeight w:val="216"/>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60,054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65,215</w:t>
            </w:r>
          </w:p>
        </w:tc>
        <w:tc>
          <w:tcPr>
            <w:tcW w:w="100" w:type="dxa"/>
            <w:vAlign w:val="bottom"/>
          </w:tcPr>
          <w:p>
            <w:pPr>
              <w:spacing w:after="0"/>
              <w:rPr>
                <w:sz w:val="18"/>
                <w:szCs w:val="18"/>
                <w:color w:val="auto"/>
              </w:rPr>
            </w:pPr>
          </w:p>
        </w:tc>
      </w:tr>
      <w:tr>
        <w:trPr>
          <w:trHeight w:val="216"/>
        </w:trPr>
        <w:tc>
          <w:tcPr>
            <w:tcW w:w="7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Royalty monetization liabilities</w:t>
            </w: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173,564</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147,408</w:t>
            </w:r>
          </w:p>
        </w:tc>
        <w:tc>
          <w:tcPr>
            <w:tcW w:w="100" w:type="dxa"/>
            <w:vAlign w:val="bottom"/>
            <w:shd w:val="clear" w:color="auto" w:fill="CFF0FC"/>
          </w:tcPr>
          <w:p>
            <w:pPr>
              <w:spacing w:after="0"/>
              <w:rPr>
                <w:sz w:val="18"/>
                <w:szCs w:val="18"/>
                <w:color w:val="auto"/>
              </w:rPr>
            </w:pPr>
          </w:p>
        </w:tc>
      </w:tr>
      <w:tr>
        <w:trPr>
          <w:trHeight w:val="216"/>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7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100" w:type="dxa"/>
            <w:vAlign w:val="bottom"/>
          </w:tcPr>
          <w:p>
            <w:pPr>
              <w:spacing w:after="0"/>
              <w:rPr>
                <w:sz w:val="18"/>
                <w:szCs w:val="18"/>
                <w:color w:val="auto"/>
              </w:rPr>
            </w:pPr>
          </w:p>
        </w:tc>
      </w:tr>
      <w:tr>
        <w:trPr>
          <w:trHeight w:val="210"/>
        </w:trPr>
        <w:tc>
          <w:tcPr>
            <w:tcW w:w="70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liabilities</w:t>
            </w: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317,998</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350,299</w:t>
            </w:r>
          </w:p>
        </w:tc>
        <w:tc>
          <w:tcPr>
            <w:tcW w:w="100" w:type="dxa"/>
            <w:vAlign w:val="bottom"/>
            <w:shd w:val="clear" w:color="auto" w:fill="CFF0FC"/>
          </w:tcPr>
          <w:p>
            <w:pPr>
              <w:spacing w:after="0"/>
              <w:rPr>
                <w:sz w:val="18"/>
                <w:szCs w:val="18"/>
                <w:color w:val="auto"/>
              </w:rPr>
            </w:pPr>
          </w:p>
        </w:tc>
      </w:tr>
      <w:tr>
        <w:trPr>
          <w:trHeight w:val="216"/>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700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10,000 shares authorized, no shares issued</w:t>
            </w:r>
          </w:p>
        </w:tc>
        <w:tc>
          <w:tcPr>
            <w:tcW w:w="7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70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and outstanding at September 30, 2026 and December 31, 2025</w:t>
            </w:r>
          </w:p>
        </w:tc>
        <w:tc>
          <w:tcPr>
            <w:tcW w:w="7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5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00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Common stock; $0.0001 par value; 100,000 shares authorized at September 30, 2026</w:t>
            </w: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0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and December 31, 2025; 66,119 and 50,892 shares issued and outstanding at</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70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September 30, 2026 and December 31, 2025, respectively</w:t>
            </w: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0"/>
                <w:szCs w:val="20"/>
                <w:color w:val="auto"/>
              </w:rPr>
            </w:pPr>
          </w:p>
        </w:tc>
      </w:tr>
      <w:tr>
        <w:trPr>
          <w:trHeight w:val="216"/>
        </w:trPr>
        <w:tc>
          <w:tcPr>
            <w:tcW w:w="70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1,383,187</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1,229,442</w:t>
            </w:r>
          </w:p>
        </w:tc>
        <w:tc>
          <w:tcPr>
            <w:tcW w:w="100" w:type="dxa"/>
            <w:vAlign w:val="bottom"/>
            <w:shd w:val="clear" w:color="auto" w:fill="CFF0FC"/>
          </w:tcPr>
          <w:p>
            <w:pPr>
              <w:spacing w:after="0"/>
              <w:rPr>
                <w:sz w:val="18"/>
                <w:szCs w:val="18"/>
                <w:color w:val="auto"/>
              </w:rPr>
            </w:pPr>
          </w:p>
        </w:tc>
      </w:tr>
      <w:tr>
        <w:trPr>
          <w:trHeight w:val="216"/>
        </w:trPr>
        <w:tc>
          <w:tcPr>
            <w:tcW w:w="7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(687)</w:t>
            </w:r>
          </w:p>
        </w:tc>
      </w:tr>
      <w:tr>
        <w:trPr>
          <w:trHeight w:val="216"/>
        </w:trPr>
        <w:tc>
          <w:tcPr>
            <w:tcW w:w="70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(1,234,107)</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(1,126,027)</w:t>
            </w:r>
          </w:p>
        </w:tc>
      </w:tr>
      <w:tr>
        <w:trPr>
          <w:trHeight w:val="210"/>
        </w:trPr>
        <w:tc>
          <w:tcPr>
            <w:tcW w:w="7000" w:type="dxa"/>
            <w:vAlign w:val="bottom"/>
            <w:tcBorders>
              <w:top w:val="single" w:sz="8" w:color="CFF0FC"/>
            </w:tcBorders>
          </w:tcPr>
          <w:p>
            <w:pPr>
              <w:ind w:left="2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740" w:type="dxa"/>
            <w:vAlign w:val="bottom"/>
            <w:tcBorders>
              <w:top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148,042</w:t>
            </w:r>
          </w:p>
        </w:tc>
        <w:tc>
          <w:tcPr>
            <w:tcW w:w="16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102,733</w:t>
            </w:r>
          </w:p>
        </w:tc>
        <w:tc>
          <w:tcPr>
            <w:tcW w:w="100" w:type="dxa"/>
            <w:vAlign w:val="bottom"/>
            <w:tcBorders>
              <w:top w:val="single" w:sz="8" w:color="CFF0FC"/>
            </w:tcBorders>
          </w:tcPr>
          <w:p>
            <w:pPr>
              <w:spacing w:after="0"/>
              <w:rPr>
                <w:sz w:val="18"/>
                <w:szCs w:val="18"/>
                <w:color w:val="auto"/>
              </w:rPr>
            </w:pPr>
          </w:p>
        </w:tc>
      </w:tr>
      <w:tr>
        <w:trPr>
          <w:trHeight w:val="230"/>
        </w:trPr>
        <w:tc>
          <w:tcPr>
            <w:tcW w:w="70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7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466,040</w:t>
            </w:r>
          </w:p>
        </w:tc>
        <w:tc>
          <w:tcPr>
            <w:tcW w:w="16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453,032</w:t>
            </w:r>
          </w:p>
        </w:tc>
        <w:tc>
          <w:tcPr>
            <w:tcW w:w="100" w:type="dxa"/>
            <w:vAlign w:val="bottom"/>
            <w:shd w:val="clear" w:color="auto" w:fill="CFF0FC"/>
          </w:tcPr>
          <w:p>
            <w:pPr>
              <w:spacing w:after="0"/>
              <w:rPr>
                <w:sz w:val="19"/>
                <w:szCs w:val="19"/>
                <w:color w:val="auto"/>
              </w:rPr>
            </w:pPr>
          </w:p>
        </w:tc>
      </w:tr>
      <w:tr>
        <w:trPr>
          <w:trHeight w:val="20"/>
        </w:trPr>
        <w:tc>
          <w:tcPr>
            <w:tcW w:w="700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-3522345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-3522345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-2390775</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-2390775</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-316865</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REGENXBIO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760" w:type="dxa"/>
            <w:vAlign w:val="bottom"/>
            <w:gridSpan w:val="6"/>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60" w:type="dxa"/>
            <w:vAlign w:val="bottom"/>
          </w:tcPr>
          <w:p>
            <w:pPr>
              <w:spacing w:after="0"/>
              <w:rPr>
                <w:sz w:val="15"/>
                <w:szCs w:val="15"/>
                <w:color w:val="auto"/>
              </w:rPr>
            </w:pPr>
          </w:p>
        </w:tc>
        <w:tc>
          <w:tcPr>
            <w:tcW w:w="2520" w:type="dxa"/>
            <w:vAlign w:val="bottom"/>
            <w:gridSpan w:val="6"/>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56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41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37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r>
      <w:tr>
        <w:trPr>
          <w:trHeight w:val="210"/>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License and royalty revenue</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5,244</w:t>
            </w:r>
          </w:p>
        </w:tc>
        <w:tc>
          <w:tcPr>
            <w:tcW w:w="160" w:type="dxa"/>
            <w:vAlign w:val="bottom"/>
          </w:tcPr>
          <w:p>
            <w:pPr>
              <w:spacing w:after="0"/>
              <w:rPr>
                <w:sz w:val="18"/>
                <w:szCs w:val="18"/>
                <w:color w:val="auto"/>
              </w:rPr>
            </w:pP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23,605</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114,175</w:t>
            </w:r>
          </w:p>
        </w:tc>
        <w:tc>
          <w:tcPr>
            <w:tcW w:w="14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129,119</w:t>
            </w:r>
          </w:p>
        </w:tc>
        <w:tc>
          <w:tcPr>
            <w:tcW w:w="120" w:type="dxa"/>
            <w:vAlign w:val="bottom"/>
          </w:tcPr>
          <w:p>
            <w:pPr>
              <w:spacing w:after="0"/>
              <w:rPr>
                <w:sz w:val="18"/>
                <w:szCs w:val="18"/>
                <w:color w:val="auto"/>
              </w:rPr>
            </w:pPr>
          </w:p>
        </w:tc>
      </w:tr>
      <w:tr>
        <w:trPr>
          <w:trHeight w:val="216"/>
        </w:trPr>
        <w:tc>
          <w:tcPr>
            <w:tcW w:w="56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Service revenue</w:t>
            </w:r>
          </w:p>
        </w:tc>
        <w:tc>
          <w:tcPr>
            <w:tcW w:w="1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3,918</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6,128</w:t>
            </w:r>
          </w:p>
        </w:tc>
        <w:tc>
          <w:tcPr>
            <w:tcW w:w="2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9,399</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10,985</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5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revenues</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29,733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123,574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140,104</w:t>
            </w:r>
          </w:p>
        </w:tc>
        <w:tc>
          <w:tcPr>
            <w:tcW w:w="120" w:type="dxa"/>
            <w:vAlign w:val="bottom"/>
          </w:tcPr>
          <w:p>
            <w:pPr>
              <w:spacing w:after="0"/>
              <w:rPr>
                <w:sz w:val="18"/>
                <w:szCs w:val="18"/>
                <w:color w:val="auto"/>
              </w:rPr>
            </w:pPr>
          </w:p>
        </w:tc>
      </w:tr>
      <w:tr>
        <w:trPr>
          <w:trHeight w:val="216"/>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Expenses (Income)</w:t>
            </w:r>
          </w:p>
        </w:tc>
        <w:tc>
          <w:tcPr>
            <w:tcW w:w="1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 of license and royalty revenues</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14,370</w:t>
            </w:r>
          </w:p>
        </w:tc>
        <w:tc>
          <w:tcPr>
            <w:tcW w:w="120" w:type="dxa"/>
            <w:vAlign w:val="bottom"/>
          </w:tcPr>
          <w:p>
            <w:pPr>
              <w:spacing w:after="0"/>
              <w:rPr>
                <w:sz w:val="18"/>
                <w:szCs w:val="18"/>
                <w:color w:val="auto"/>
              </w:rPr>
            </w:pPr>
          </w:p>
        </w:tc>
      </w:tr>
      <w:tr>
        <w:trPr>
          <w:trHeight w:val="216"/>
        </w:trPr>
        <w:tc>
          <w:tcPr>
            <w:tcW w:w="56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61,009</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56,101</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174,434</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168,688</w:t>
            </w:r>
          </w:p>
        </w:tc>
        <w:tc>
          <w:tcPr>
            <w:tcW w:w="120" w:type="dxa"/>
            <w:vAlign w:val="bottom"/>
            <w:shd w:val="clear" w:color="auto" w:fill="CFF0FC"/>
          </w:tcPr>
          <w:p>
            <w:pPr>
              <w:spacing w:after="0"/>
              <w:rPr>
                <w:sz w:val="18"/>
                <w:szCs w:val="18"/>
                <w:color w:val="auto"/>
              </w:rPr>
            </w:pPr>
          </w:p>
        </w:tc>
      </w:tr>
      <w:tr>
        <w:trPr>
          <w:trHeight w:val="216"/>
        </w:trPr>
        <w:tc>
          <w:tcPr>
            <w:tcW w:w="5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20,579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63,501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60,483</w:t>
            </w:r>
          </w:p>
        </w:tc>
        <w:tc>
          <w:tcPr>
            <w:tcW w:w="120" w:type="dxa"/>
            <w:vAlign w:val="bottom"/>
          </w:tcPr>
          <w:p>
            <w:pPr>
              <w:spacing w:after="0"/>
              <w:rPr>
                <w:sz w:val="18"/>
                <w:szCs w:val="18"/>
                <w:color w:val="auto"/>
              </w:rPr>
            </w:pPr>
          </w:p>
        </w:tc>
      </w:tr>
      <w:tr>
        <w:trPr>
          <w:trHeight w:val="216"/>
        </w:trPr>
        <w:tc>
          <w:tcPr>
            <w:tcW w:w="56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Gain on litigation settlement</w:t>
            </w:r>
          </w:p>
        </w:tc>
        <w:tc>
          <w:tcPr>
            <w:tcW w:w="1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(38,026)</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(38,026)</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operating expenses (income)</w:t>
            </w:r>
          </w:p>
        </w:tc>
        <w:tc>
          <w:tcPr>
            <w:tcW w:w="14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tcPr>
          <w:p>
            <w:pPr>
              <w:spacing w:after="0"/>
              <w:rPr>
                <w:sz w:val="18"/>
                <w:szCs w:val="18"/>
                <w:color w:val="auto"/>
              </w:rPr>
            </w:pPr>
          </w:p>
        </w:tc>
      </w:tr>
      <w:tr>
        <w:trPr>
          <w:trHeight w:val="209"/>
        </w:trPr>
        <w:tc>
          <w:tcPr>
            <w:tcW w:w="566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44,696</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82,144</w:t>
            </w:r>
          </w:p>
        </w:tc>
        <w:tc>
          <w:tcPr>
            <w:tcW w:w="2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213,207</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243,666</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5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Loss from operations</w:t>
            </w:r>
          </w:p>
        </w:tc>
        <w:tc>
          <w:tcPr>
            <w:tcW w:w="14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(35,534)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(52,411)</w:t>
            </w:r>
          </w:p>
        </w:tc>
        <w:tc>
          <w:tcPr>
            <w:tcW w:w="16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(89,633)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(103,562)</w:t>
            </w:r>
          </w:p>
        </w:tc>
      </w:tr>
      <w:tr>
        <w:trPr>
          <w:trHeight w:val="216"/>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1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income from licensing</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Pr>
          <w:p>
            <w:pPr>
              <w:spacing w:after="0"/>
              <w:rPr>
                <w:sz w:val="18"/>
                <w:szCs w:val="18"/>
                <w:color w:val="auto"/>
              </w:rPr>
            </w:pPr>
          </w:p>
        </w:tc>
      </w:tr>
      <w:tr>
        <w:trPr>
          <w:trHeight w:val="216"/>
        </w:trPr>
        <w:tc>
          <w:tcPr>
            <w:tcW w:w="56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Investment income</w:t>
            </w:r>
          </w:p>
        </w:tc>
        <w:tc>
          <w:tcPr>
            <w:tcW w:w="1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2,252</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3,620</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5,477</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9,500</w:t>
            </w:r>
          </w:p>
        </w:tc>
        <w:tc>
          <w:tcPr>
            <w:tcW w:w="120" w:type="dxa"/>
            <w:vAlign w:val="bottom"/>
            <w:shd w:val="clear" w:color="auto" w:fill="CFF0FC"/>
          </w:tcPr>
          <w:p>
            <w:pPr>
              <w:spacing w:after="0"/>
              <w:rPr>
                <w:sz w:val="18"/>
                <w:szCs w:val="18"/>
                <w:color w:val="auto"/>
              </w:rPr>
            </w:pPr>
          </w:p>
        </w:tc>
      </w:tr>
      <w:tr>
        <w:trPr>
          <w:trHeight w:val="216"/>
        </w:trPr>
        <w:tc>
          <w:tcPr>
            <w:tcW w:w="5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(7,472)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(13,169)</w:t>
            </w:r>
          </w:p>
        </w:tc>
        <w:tc>
          <w:tcPr>
            <w:tcW w:w="16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(23,973)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(32,732)</w:t>
            </w:r>
          </w:p>
        </w:tc>
      </w:tr>
      <w:tr>
        <w:trPr>
          <w:trHeight w:val="20"/>
        </w:trPr>
        <w:tc>
          <w:tcPr>
            <w:tcW w:w="5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56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1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(5,204)</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(9,530)</w:t>
            </w:r>
          </w:p>
        </w:tc>
        <w:tc>
          <w:tcPr>
            <w:tcW w:w="1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(18,447)</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(23,167)</w:t>
            </w:r>
          </w:p>
        </w:tc>
      </w:tr>
      <w:tr>
        <w:trPr>
          <w:trHeight w:val="20"/>
        </w:trPr>
        <w:tc>
          <w:tcPr>
            <w:tcW w:w="56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5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(40,738)</w:t>
            </w: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(61,941)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(108,080)</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(126,729)</w:t>
            </w:r>
          </w:p>
        </w:tc>
      </w:tr>
      <w:tr>
        <w:trPr>
          <w:trHeight w:val="20"/>
        </w:trPr>
        <w:tc>
          <w:tcPr>
            <w:tcW w:w="5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566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1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6"/>
        </w:trPr>
        <w:tc>
          <w:tcPr>
            <w:tcW w:w="5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Unrealized gain (loss) on available-for-sale securities, net</w:t>
            </w:r>
          </w:p>
        </w:tc>
        <w:tc>
          <w:tcPr>
            <w:tcW w:w="14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tcPr>
          <w:p>
            <w:pPr>
              <w:spacing w:after="0"/>
              <w:rPr>
                <w:sz w:val="18"/>
                <w:szCs w:val="18"/>
                <w:color w:val="auto"/>
              </w:rPr>
            </w:pPr>
          </w:p>
        </w:tc>
      </w:tr>
      <w:tr>
        <w:trPr>
          <w:trHeight w:val="20"/>
        </w:trPr>
        <w:tc>
          <w:tcPr>
            <w:tcW w:w="5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56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1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(170)</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(358)</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shd w:val="clear" w:color="auto" w:fill="CFF0FC"/>
          </w:tcPr>
          <w:p>
            <w:pPr>
              <w:spacing w:after="0"/>
              <w:rPr>
                <w:sz w:val="18"/>
                <w:szCs w:val="18"/>
                <w:color w:val="auto"/>
              </w:rPr>
            </w:pPr>
          </w:p>
        </w:tc>
      </w:tr>
      <w:tr>
        <w:trPr>
          <w:trHeight w:val="20"/>
        </w:trPr>
        <w:tc>
          <w:tcPr>
            <w:tcW w:w="56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5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Comprehensive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(40,908)</w:t>
            </w: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(61,843)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(108,438)</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(126,640)</w:t>
            </w:r>
          </w:p>
        </w:tc>
      </w:tr>
      <w:tr>
        <w:trPr>
          <w:trHeight w:val="20"/>
        </w:trPr>
        <w:tc>
          <w:tcPr>
            <w:tcW w:w="5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56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(0.62)</w:t>
            </w: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(1.90)</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(2.46)</w:t>
            </w:r>
          </w:p>
        </w:tc>
      </w:tr>
      <w:tr>
        <w:trPr>
          <w:trHeight w:val="20"/>
        </w:trPr>
        <w:tc>
          <w:tcPr>
            <w:tcW w:w="5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566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Weighted-average common shares outstanding, basic and diluted</w:t>
            </w:r>
          </w:p>
        </w:tc>
        <w:tc>
          <w:tcPr>
            <w:tcW w:w="14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65,263</w:t>
            </w:r>
          </w:p>
        </w:tc>
        <w:tc>
          <w:tcPr>
            <w:tcW w:w="16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51,689</w:t>
            </w:r>
          </w:p>
        </w:tc>
        <w:tc>
          <w:tcPr>
            <w:tcW w:w="2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56,884</w:t>
            </w:r>
          </w:p>
        </w:tc>
        <w:tc>
          <w:tcPr>
            <w:tcW w:w="14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51,513</w:t>
            </w:r>
          </w:p>
        </w:tc>
        <w:tc>
          <w:tcPr>
            <w:tcW w:w="12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-3179445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-3179445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-3179445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-3179445</wp:posOffset>
            </wp:positionV>
            <wp:extent cx="774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-2065020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-2065020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-2065020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-2065020</wp:posOffset>
            </wp:positionV>
            <wp:extent cx="7747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-1225550</wp:posOffset>
            </wp:positionV>
            <wp:extent cx="685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-1225550</wp:posOffset>
            </wp:positionV>
            <wp:extent cx="685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-1225550</wp:posOffset>
            </wp:positionV>
            <wp:extent cx="685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-1225550</wp:posOffset>
            </wp:positionV>
            <wp:extent cx="7747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-633730</wp:posOffset>
            </wp:positionV>
            <wp:extent cx="685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-633730</wp:posOffset>
            </wp:positionV>
            <wp:extent cx="685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-633730</wp:posOffset>
            </wp:positionV>
            <wp:extent cx="685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-633730</wp:posOffset>
            </wp:positionV>
            <wp:extent cx="7747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-24765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-8255</wp:posOffset>
            </wp:positionV>
            <wp:extent cx="685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-24765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-8255</wp:posOffset>
            </wp:positionV>
            <wp:extent cx="685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-24765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-8255</wp:posOffset>
            </wp:positionV>
            <wp:extent cx="685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1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REGENXBIO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48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420" w:type="dxa"/>
            <w:vAlign w:val="bottom"/>
            <w:tcBorders>
              <w:bottom w:val="single" w:sz="8" w:color="auto"/>
            </w:tcBorders>
            <w:gridSpan w:val="8"/>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Three Months Ended September 30, 2026</w:t>
            </w: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4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center"/>
              <w:ind w:right="260"/>
              <w:spacing w:after="0" w:line="136" w:lineRule="exact"/>
              <w:rPr>
                <w:sz w:val="20"/>
                <w:szCs w:val="20"/>
                <w:color w:val="auto"/>
              </w:rPr>
            </w:pPr>
            <w:r>
              <w:rPr>
                <w:rFonts w:ascii="Times New Roman" w:cs="Times New Roman" w:eastAsia="Times New Roman" w:hAnsi="Times New Roman"/>
                <w:sz w:val="13"/>
                <w:szCs w:val="13"/>
                <w:b w:val="1"/>
                <w:bCs w:val="1"/>
                <w:color w:val="auto"/>
                <w:w w:val="94"/>
              </w:rPr>
              <w:t>Accumulated</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480" w:type="dxa"/>
            <w:vAlign w:val="bottom"/>
          </w:tcPr>
          <w:p>
            <w:pPr>
              <w:spacing w:after="0"/>
              <w:rPr>
                <w:sz w:val="12"/>
                <w:szCs w:val="12"/>
                <w:color w:val="auto"/>
              </w:rPr>
            </w:pPr>
          </w:p>
        </w:tc>
        <w:tc>
          <w:tcPr>
            <w:tcW w:w="1880" w:type="dxa"/>
            <w:vAlign w:val="bottom"/>
            <w:gridSpan w:val="3"/>
            <w:vMerge w:val="restart"/>
          </w:tcPr>
          <w:p>
            <w:pPr>
              <w:jc w:val="right"/>
              <w:ind w:right="368"/>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4"/>
              </w:rPr>
              <w:t>Additional</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42"/>
        </w:trPr>
        <w:tc>
          <w:tcPr>
            <w:tcW w:w="4480" w:type="dxa"/>
            <w:vAlign w:val="bottom"/>
          </w:tcPr>
          <w:p>
            <w:pPr>
              <w:spacing w:after="0"/>
              <w:rPr>
                <w:sz w:val="12"/>
                <w:szCs w:val="12"/>
                <w:color w:val="auto"/>
              </w:rPr>
            </w:pPr>
          </w:p>
        </w:tc>
        <w:tc>
          <w:tcPr>
            <w:tcW w:w="1880" w:type="dxa"/>
            <w:vAlign w:val="bottom"/>
            <w:tcBorders>
              <w:bottom w:val="single" w:sz="8" w:color="auto"/>
            </w:tcBorders>
            <w:gridSpan w:val="3"/>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80"/>
              <w:spacing w:after="0" w:line="142" w:lineRule="exact"/>
              <w:rPr>
                <w:sz w:val="20"/>
                <w:szCs w:val="20"/>
                <w:color w:val="auto"/>
              </w:rPr>
            </w:pPr>
            <w:r>
              <w:rPr>
                <w:rFonts w:ascii="Times New Roman" w:cs="Times New Roman" w:eastAsia="Times New Roman" w:hAnsi="Times New Roman"/>
                <w:sz w:val="13"/>
                <w:szCs w:val="13"/>
                <w:b w:val="1"/>
                <w:bCs w:val="1"/>
                <w:color w:val="auto"/>
                <w:w w:val="98"/>
              </w:rPr>
              <w:t>Paid-in</w:t>
            </w:r>
          </w:p>
        </w:tc>
        <w:tc>
          <w:tcPr>
            <w:tcW w:w="100" w:type="dxa"/>
            <w:vAlign w:val="bottom"/>
          </w:tcPr>
          <w:p>
            <w:pPr>
              <w:spacing w:after="0"/>
              <w:rPr>
                <w:sz w:val="12"/>
                <w:szCs w:val="12"/>
                <w:color w:val="auto"/>
              </w:rPr>
            </w:pPr>
          </w:p>
        </w:tc>
        <w:tc>
          <w:tcPr>
            <w:tcW w:w="104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3"/>
                <w:szCs w:val="13"/>
                <w:b w:val="1"/>
                <w:bCs w:val="1"/>
                <w:color w:val="auto"/>
                <w:w w:val="96"/>
              </w:rPr>
              <w:t>Stockholders’</w:t>
            </w:r>
          </w:p>
        </w:tc>
        <w:tc>
          <w:tcPr>
            <w:tcW w:w="0" w:type="dxa"/>
            <w:vAlign w:val="bottom"/>
          </w:tcPr>
          <w:p>
            <w:pPr>
              <w:spacing w:after="0"/>
              <w:rPr>
                <w:sz w:val="1"/>
                <w:szCs w:val="1"/>
                <w:color w:val="auto"/>
              </w:rPr>
            </w:pPr>
          </w:p>
        </w:tc>
      </w:tr>
      <w:tr>
        <w:trPr>
          <w:trHeight w:val="129"/>
        </w:trPr>
        <w:tc>
          <w:tcPr>
            <w:tcW w:w="4480" w:type="dxa"/>
            <w:vAlign w:val="bottom"/>
          </w:tcPr>
          <w:p>
            <w:pPr>
              <w:spacing w:after="0"/>
              <w:rPr>
                <w:sz w:val="11"/>
                <w:szCs w:val="11"/>
                <w:color w:val="auto"/>
              </w:rPr>
            </w:pPr>
          </w:p>
        </w:tc>
        <w:tc>
          <w:tcPr>
            <w:tcW w:w="940" w:type="dxa"/>
            <w:vAlign w:val="bottom"/>
            <w:tcBorders>
              <w:bottom w:val="single" w:sz="8" w:color="auto"/>
            </w:tcBorders>
          </w:tcPr>
          <w:p>
            <w:pPr>
              <w:jc w:val="right"/>
              <w:ind w:right="223"/>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240" w:type="dxa"/>
            <w:vAlign w:val="bottom"/>
          </w:tcPr>
          <w:p>
            <w:pPr>
              <w:spacing w:after="0"/>
              <w:rPr>
                <w:sz w:val="11"/>
                <w:szCs w:val="11"/>
                <w:color w:val="auto"/>
              </w:rPr>
            </w:pPr>
          </w:p>
        </w:tc>
        <w:tc>
          <w:tcPr>
            <w:tcW w:w="7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20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center"/>
              <w:ind w:right="44"/>
              <w:spacing w:after="0" w:line="129" w:lineRule="exact"/>
              <w:rPr>
                <w:sz w:val="20"/>
                <w:szCs w:val="20"/>
                <w:color w:val="auto"/>
              </w:rPr>
            </w:pPr>
            <w:r>
              <w:rPr>
                <w:rFonts w:ascii="Times New Roman" w:cs="Times New Roman" w:eastAsia="Times New Roman" w:hAnsi="Times New Roman"/>
                <w:sz w:val="13"/>
                <w:szCs w:val="13"/>
                <w:b w:val="1"/>
                <w:bCs w:val="1"/>
                <w:color w:val="auto"/>
                <w:w w:val="97"/>
              </w:rPr>
              <w:t>Capital</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center"/>
              <w:ind w:right="24"/>
              <w:spacing w:after="0" w:line="129" w:lineRule="exact"/>
              <w:rPr>
                <w:sz w:val="20"/>
                <w:szCs w:val="20"/>
                <w:color w:val="auto"/>
              </w:rPr>
            </w:pPr>
            <w:r>
              <w:rPr>
                <w:rFonts w:ascii="Times New Roman" w:cs="Times New Roman" w:eastAsia="Times New Roman" w:hAnsi="Times New Roman"/>
                <w:sz w:val="13"/>
                <w:szCs w:val="13"/>
                <w:b w:val="1"/>
                <w:bCs w:val="1"/>
                <w:color w:val="auto"/>
              </w:rPr>
              <w:t>Loss</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center"/>
              <w:ind w:right="23"/>
              <w:spacing w:after="0" w:line="129" w:lineRule="exact"/>
              <w:rPr>
                <w:sz w:val="20"/>
                <w:szCs w:val="20"/>
                <w:color w:val="auto"/>
              </w:rPr>
            </w:pPr>
            <w:r>
              <w:rPr>
                <w:rFonts w:ascii="Times New Roman" w:cs="Times New Roman" w:eastAsia="Times New Roman" w:hAnsi="Times New Roman"/>
                <w:sz w:val="13"/>
                <w:szCs w:val="13"/>
                <w:b w:val="1"/>
                <w:bCs w:val="1"/>
                <w:color w:val="auto"/>
                <w:w w:val="97"/>
              </w:rPr>
              <w:t>Deficit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center"/>
              <w:ind w:right="4"/>
              <w:spacing w:after="0" w:line="129" w:lineRule="exact"/>
              <w:rPr>
                <w:sz w:val="20"/>
                <w:szCs w:val="20"/>
                <w:color w:val="auto"/>
              </w:rPr>
            </w:pPr>
            <w:r>
              <w:rPr>
                <w:rFonts w:ascii="Times New Roman" w:cs="Times New Roman" w:eastAsia="Times New Roman" w:hAnsi="Times New Roman"/>
                <w:sz w:val="13"/>
                <w:szCs w:val="13"/>
                <w:b w:val="1"/>
                <w:bCs w:val="1"/>
                <w:color w:val="auto"/>
                <w:w w:val="95"/>
              </w:rPr>
              <w:t>Equity</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Balances at June 30, 2026</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54,164</w:t>
            </w:r>
          </w:p>
        </w:tc>
        <w:tc>
          <w:tcPr>
            <w:tcW w:w="940" w:type="dxa"/>
            <w:vAlign w:val="bottom"/>
            <w:gridSpan w:val="2"/>
            <w:shd w:val="clear" w:color="auto" w:fill="CFF0FC"/>
          </w:tcPr>
          <w:p>
            <w:pPr>
              <w:jc w:val="right"/>
              <w:ind w:right="548"/>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1,266,004</w:t>
            </w:r>
          </w:p>
        </w:tc>
        <w:tc>
          <w:tcPr>
            <w:tcW w:w="160" w:type="dxa"/>
            <w:vAlign w:val="bottom"/>
            <w:shd w:val="clear" w:color="auto" w:fill="CFF0FC"/>
          </w:tcPr>
          <w:p>
            <w:pPr>
              <w:spacing w:after="0"/>
              <w:rPr>
                <w:sz w:val="17"/>
                <w:szCs w:val="17"/>
                <w:color w:val="auto"/>
              </w:rPr>
            </w:pPr>
          </w:p>
        </w:tc>
        <w:tc>
          <w:tcPr>
            <w:tcW w:w="18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(875)</w:t>
            </w: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(1,193,369)</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71,765</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80" w:type="dxa"/>
            <w:vAlign w:val="bottom"/>
          </w:tcPr>
          <w:p>
            <w:pPr>
              <w:spacing w:after="0"/>
              <w:rPr>
                <w:sz w:val="20"/>
                <w:szCs w:val="20"/>
                <w:color w:val="auto"/>
              </w:rPr>
            </w:pPr>
            <w:r>
              <w:rPr>
                <w:rFonts w:ascii="Times New Roman" w:cs="Times New Roman" w:eastAsia="Times New Roman" w:hAnsi="Times New Roman"/>
                <w:sz w:val="16"/>
                <w:szCs w:val="16"/>
                <w:color w:val="auto"/>
              </w:rPr>
              <w:t>Vesting of restricted stock units, net of tax</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(255)</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(255)</w:t>
            </w:r>
          </w:p>
        </w:tc>
        <w:tc>
          <w:tcPr>
            <w:tcW w:w="0" w:type="dxa"/>
            <w:vAlign w:val="bottom"/>
          </w:tcPr>
          <w:p>
            <w:pPr>
              <w:spacing w:after="0"/>
              <w:rPr>
                <w:sz w:val="1"/>
                <w:szCs w:val="1"/>
                <w:color w:val="auto"/>
              </w:rPr>
            </w:pPr>
          </w:p>
        </w:tc>
      </w:tr>
      <w:tr>
        <w:trPr>
          <w:trHeight w:val="203"/>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Exercise of stock options, net of tax</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2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647</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647</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48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 stock under employee</w:t>
            </w: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4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stock purchase plan</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Issuance of common stock and pre-funded warrants</w:t>
            </w:r>
          </w:p>
        </w:tc>
        <w:tc>
          <w:tcPr>
            <w:tcW w:w="9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upon public offering, net of transaction costs of $360</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11,671</w:t>
            </w:r>
          </w:p>
        </w:tc>
        <w:tc>
          <w:tcPr>
            <w:tcW w:w="2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107,775</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107,777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48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8,120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8,120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Unrealized loss on available-for-sale securities, net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(170)</w:t>
            </w: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(170)</w:t>
            </w:r>
          </w:p>
        </w:tc>
        <w:tc>
          <w:tcPr>
            <w:tcW w:w="0" w:type="dxa"/>
            <w:vAlign w:val="bottom"/>
          </w:tcPr>
          <w:p>
            <w:pPr>
              <w:spacing w:after="0"/>
              <w:rPr>
                <w:sz w:val="1"/>
                <w:szCs w:val="1"/>
                <w:color w:val="auto"/>
              </w:rPr>
            </w:pPr>
          </w:p>
        </w:tc>
      </w:tr>
      <w:tr>
        <w:trPr>
          <w:trHeight w:val="203"/>
        </w:trPr>
        <w:tc>
          <w:tcPr>
            <w:tcW w:w="448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(40,738)</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(40,738)</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Balances at September 30, 2026</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66,119</w:t>
            </w:r>
          </w:p>
        </w:tc>
        <w:tc>
          <w:tcPr>
            <w:tcW w:w="24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548"/>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1,383,187</w:t>
            </w:r>
          </w:p>
        </w:tc>
        <w:tc>
          <w:tcPr>
            <w:tcW w:w="160" w:type="dxa"/>
            <w:vAlign w:val="bottom"/>
            <w:shd w:val="clear" w:color="auto" w:fill="CFF0FC"/>
          </w:tcPr>
          <w:p>
            <w:pPr>
              <w:spacing w:after="0"/>
              <w:rPr>
                <w:sz w:val="18"/>
                <w:szCs w:val="18"/>
                <w:color w:val="auto"/>
              </w:rPr>
            </w:pPr>
          </w:p>
        </w:tc>
        <w:tc>
          <w:tcPr>
            <w:tcW w:w="18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(1,045)</w:t>
            </w: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(1,234,107)</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148,042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8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448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8"/>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Three Months Ended September 30, 2025</w:t>
            </w: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44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center"/>
              <w:ind w:right="260"/>
              <w:spacing w:after="0" w:line="136" w:lineRule="exact"/>
              <w:rPr>
                <w:sz w:val="20"/>
                <w:szCs w:val="20"/>
                <w:color w:val="auto"/>
              </w:rPr>
            </w:pPr>
            <w:r>
              <w:rPr>
                <w:rFonts w:ascii="Times New Roman" w:cs="Times New Roman" w:eastAsia="Times New Roman" w:hAnsi="Times New Roman"/>
                <w:sz w:val="13"/>
                <w:szCs w:val="13"/>
                <w:b w:val="1"/>
                <w:bCs w:val="1"/>
                <w:color w:val="auto"/>
                <w:w w:val="94"/>
              </w:rPr>
              <w:t>Accumulated</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480" w:type="dxa"/>
            <w:vAlign w:val="bottom"/>
          </w:tcPr>
          <w:p>
            <w:pPr>
              <w:spacing w:after="0"/>
              <w:rPr>
                <w:sz w:val="12"/>
                <w:szCs w:val="12"/>
                <w:color w:val="auto"/>
              </w:rPr>
            </w:pPr>
          </w:p>
        </w:tc>
        <w:tc>
          <w:tcPr>
            <w:tcW w:w="1880" w:type="dxa"/>
            <w:vAlign w:val="bottom"/>
            <w:gridSpan w:val="3"/>
            <w:vMerge w:val="restart"/>
          </w:tcPr>
          <w:p>
            <w:pPr>
              <w:jc w:val="right"/>
              <w:ind w:right="368"/>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4"/>
              </w:rPr>
              <w:t>Additional</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42"/>
        </w:trPr>
        <w:tc>
          <w:tcPr>
            <w:tcW w:w="4480" w:type="dxa"/>
            <w:vAlign w:val="bottom"/>
          </w:tcPr>
          <w:p>
            <w:pPr>
              <w:spacing w:after="0"/>
              <w:rPr>
                <w:sz w:val="12"/>
                <w:szCs w:val="12"/>
                <w:color w:val="auto"/>
              </w:rPr>
            </w:pPr>
          </w:p>
        </w:tc>
        <w:tc>
          <w:tcPr>
            <w:tcW w:w="1880" w:type="dxa"/>
            <w:vAlign w:val="bottom"/>
            <w:tcBorders>
              <w:bottom w:val="single" w:sz="8" w:color="auto"/>
            </w:tcBorders>
            <w:gridSpan w:val="3"/>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80"/>
              <w:spacing w:after="0" w:line="142" w:lineRule="exact"/>
              <w:rPr>
                <w:sz w:val="20"/>
                <w:szCs w:val="20"/>
                <w:color w:val="auto"/>
              </w:rPr>
            </w:pPr>
            <w:r>
              <w:rPr>
                <w:rFonts w:ascii="Times New Roman" w:cs="Times New Roman" w:eastAsia="Times New Roman" w:hAnsi="Times New Roman"/>
                <w:sz w:val="13"/>
                <w:szCs w:val="13"/>
                <w:b w:val="1"/>
                <w:bCs w:val="1"/>
                <w:color w:val="auto"/>
                <w:w w:val="98"/>
              </w:rPr>
              <w:t>Paid-in</w:t>
            </w:r>
          </w:p>
        </w:tc>
        <w:tc>
          <w:tcPr>
            <w:tcW w:w="100" w:type="dxa"/>
            <w:vAlign w:val="bottom"/>
          </w:tcPr>
          <w:p>
            <w:pPr>
              <w:spacing w:after="0"/>
              <w:rPr>
                <w:sz w:val="12"/>
                <w:szCs w:val="12"/>
                <w:color w:val="auto"/>
              </w:rPr>
            </w:pPr>
          </w:p>
        </w:tc>
        <w:tc>
          <w:tcPr>
            <w:tcW w:w="104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3"/>
                <w:szCs w:val="13"/>
                <w:b w:val="1"/>
                <w:bCs w:val="1"/>
                <w:color w:val="auto"/>
                <w:w w:val="96"/>
              </w:rPr>
              <w:t>Stockholders’</w:t>
            </w:r>
          </w:p>
        </w:tc>
        <w:tc>
          <w:tcPr>
            <w:tcW w:w="0" w:type="dxa"/>
            <w:vAlign w:val="bottom"/>
          </w:tcPr>
          <w:p>
            <w:pPr>
              <w:spacing w:after="0"/>
              <w:rPr>
                <w:sz w:val="1"/>
                <w:szCs w:val="1"/>
                <w:color w:val="auto"/>
              </w:rPr>
            </w:pPr>
          </w:p>
        </w:tc>
      </w:tr>
      <w:tr>
        <w:trPr>
          <w:trHeight w:val="128"/>
        </w:trPr>
        <w:tc>
          <w:tcPr>
            <w:tcW w:w="4480" w:type="dxa"/>
            <w:vAlign w:val="bottom"/>
          </w:tcPr>
          <w:p>
            <w:pPr>
              <w:spacing w:after="0"/>
              <w:rPr>
                <w:sz w:val="11"/>
                <w:szCs w:val="11"/>
                <w:color w:val="auto"/>
              </w:rPr>
            </w:pPr>
          </w:p>
        </w:tc>
        <w:tc>
          <w:tcPr>
            <w:tcW w:w="940" w:type="dxa"/>
            <w:vAlign w:val="bottom"/>
            <w:tcBorders>
              <w:bottom w:val="single" w:sz="8" w:color="auto"/>
            </w:tcBorders>
          </w:tcPr>
          <w:p>
            <w:pPr>
              <w:jc w:val="right"/>
              <w:ind w:right="223"/>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240" w:type="dxa"/>
            <w:vAlign w:val="bottom"/>
          </w:tcPr>
          <w:p>
            <w:pPr>
              <w:spacing w:after="0"/>
              <w:rPr>
                <w:sz w:val="11"/>
                <w:szCs w:val="11"/>
                <w:color w:val="auto"/>
              </w:rPr>
            </w:pPr>
          </w:p>
        </w:tc>
        <w:tc>
          <w:tcPr>
            <w:tcW w:w="7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20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center"/>
              <w:ind w:right="44"/>
              <w:spacing w:after="0" w:line="129" w:lineRule="exact"/>
              <w:rPr>
                <w:sz w:val="20"/>
                <w:szCs w:val="20"/>
                <w:color w:val="auto"/>
              </w:rPr>
            </w:pPr>
            <w:r>
              <w:rPr>
                <w:rFonts w:ascii="Times New Roman" w:cs="Times New Roman" w:eastAsia="Times New Roman" w:hAnsi="Times New Roman"/>
                <w:sz w:val="13"/>
                <w:szCs w:val="13"/>
                <w:b w:val="1"/>
                <w:bCs w:val="1"/>
                <w:color w:val="auto"/>
                <w:w w:val="97"/>
              </w:rPr>
              <w:t>Capital</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center"/>
              <w:ind w:right="24"/>
              <w:spacing w:after="0" w:line="129" w:lineRule="exact"/>
              <w:rPr>
                <w:sz w:val="20"/>
                <w:szCs w:val="20"/>
                <w:color w:val="auto"/>
              </w:rPr>
            </w:pPr>
            <w:r>
              <w:rPr>
                <w:rFonts w:ascii="Times New Roman" w:cs="Times New Roman" w:eastAsia="Times New Roman" w:hAnsi="Times New Roman"/>
                <w:sz w:val="13"/>
                <w:szCs w:val="13"/>
                <w:b w:val="1"/>
                <w:bCs w:val="1"/>
                <w:color w:val="auto"/>
              </w:rPr>
              <w:t>Loss</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center"/>
              <w:ind w:right="23"/>
              <w:spacing w:after="0" w:line="129" w:lineRule="exact"/>
              <w:rPr>
                <w:sz w:val="20"/>
                <w:szCs w:val="20"/>
                <w:color w:val="auto"/>
              </w:rPr>
            </w:pPr>
            <w:r>
              <w:rPr>
                <w:rFonts w:ascii="Times New Roman" w:cs="Times New Roman" w:eastAsia="Times New Roman" w:hAnsi="Times New Roman"/>
                <w:sz w:val="13"/>
                <w:szCs w:val="13"/>
                <w:b w:val="1"/>
                <w:bCs w:val="1"/>
                <w:color w:val="auto"/>
                <w:w w:val="97"/>
              </w:rPr>
              <w:t>Deficit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center"/>
              <w:ind w:right="4"/>
              <w:spacing w:after="0" w:line="129" w:lineRule="exact"/>
              <w:rPr>
                <w:sz w:val="20"/>
                <w:szCs w:val="20"/>
                <w:color w:val="auto"/>
              </w:rPr>
            </w:pPr>
            <w:r>
              <w:rPr>
                <w:rFonts w:ascii="Times New Roman" w:cs="Times New Roman" w:eastAsia="Times New Roman" w:hAnsi="Times New Roman"/>
                <w:sz w:val="13"/>
                <w:szCs w:val="13"/>
                <w:b w:val="1"/>
                <w:bCs w:val="1"/>
                <w:color w:val="auto"/>
                <w:w w:val="95"/>
              </w:rPr>
              <w:t>Equity</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Balances at June 30, 2025</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50,389</w:t>
            </w:r>
          </w:p>
        </w:tc>
        <w:tc>
          <w:tcPr>
            <w:tcW w:w="940" w:type="dxa"/>
            <w:vAlign w:val="bottom"/>
            <w:gridSpan w:val="2"/>
            <w:shd w:val="clear" w:color="auto" w:fill="CFF0FC"/>
          </w:tcPr>
          <w:p>
            <w:pPr>
              <w:jc w:val="right"/>
              <w:ind w:right="548"/>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1,211,361</w:t>
            </w:r>
          </w:p>
        </w:tc>
        <w:tc>
          <w:tcPr>
            <w:tcW w:w="160" w:type="dxa"/>
            <w:vAlign w:val="bottom"/>
            <w:shd w:val="clear" w:color="auto" w:fill="CFF0FC"/>
          </w:tcPr>
          <w:p>
            <w:pPr>
              <w:spacing w:after="0"/>
              <w:rPr>
                <w:sz w:val="17"/>
                <w:szCs w:val="17"/>
                <w:color w:val="auto"/>
              </w:rPr>
            </w:pPr>
          </w:p>
        </w:tc>
        <w:tc>
          <w:tcPr>
            <w:tcW w:w="18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(750)</w:t>
            </w: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(996,937)</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213,679</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480" w:type="dxa"/>
            <w:vAlign w:val="bottom"/>
          </w:tcPr>
          <w:p>
            <w:pPr>
              <w:spacing w:after="0"/>
              <w:rPr>
                <w:sz w:val="20"/>
                <w:szCs w:val="20"/>
                <w:color w:val="auto"/>
              </w:rPr>
            </w:pPr>
            <w:r>
              <w:rPr>
                <w:rFonts w:ascii="Times New Roman" w:cs="Times New Roman" w:eastAsia="Times New Roman" w:hAnsi="Times New Roman"/>
                <w:sz w:val="16"/>
                <w:szCs w:val="16"/>
                <w:color w:val="auto"/>
              </w:rPr>
              <w:t>Vesting of restricted stock units, net of tax</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(123)</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(123)</w:t>
            </w:r>
          </w:p>
        </w:tc>
        <w:tc>
          <w:tcPr>
            <w:tcW w:w="0" w:type="dxa"/>
            <w:vAlign w:val="bottom"/>
          </w:tcPr>
          <w:p>
            <w:pPr>
              <w:spacing w:after="0"/>
              <w:rPr>
                <w:sz w:val="1"/>
                <w:szCs w:val="1"/>
                <w:color w:val="auto"/>
              </w:rPr>
            </w:pPr>
          </w:p>
        </w:tc>
      </w:tr>
      <w:tr>
        <w:trPr>
          <w:trHeight w:val="189"/>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Issuance of common stock under employee</w:t>
            </w:r>
          </w:p>
        </w:tc>
        <w:tc>
          <w:tcPr>
            <w:tcW w:w="9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stock purchase plan</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2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741</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48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8,998</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8,998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Unrealized gain on available-for-sale securities, net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8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(61,941)</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(61,941)</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Balances at September 30, 2025</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50,619</w:t>
            </w:r>
          </w:p>
        </w:tc>
        <w:tc>
          <w:tcPr>
            <w:tcW w:w="24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548"/>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1,220,977</w:t>
            </w:r>
          </w:p>
        </w:tc>
        <w:tc>
          <w:tcPr>
            <w:tcW w:w="160" w:type="dxa"/>
            <w:vAlign w:val="bottom"/>
            <w:shd w:val="clear" w:color="auto" w:fill="CFF0FC"/>
          </w:tcPr>
          <w:p>
            <w:pPr>
              <w:spacing w:after="0"/>
              <w:rPr>
                <w:sz w:val="18"/>
                <w:szCs w:val="18"/>
                <w:color w:val="auto"/>
              </w:rPr>
            </w:pPr>
          </w:p>
        </w:tc>
        <w:tc>
          <w:tcPr>
            <w:tcW w:w="18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(652)</w:t>
            </w: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(1,058,878)</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161,452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8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3442335</wp:posOffset>
            </wp:positionH>
            <wp:positionV relativeFrom="paragraph">
              <wp:posOffset>-1696720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-1679575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-1696720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-1679575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-1696720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-1679575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-1696720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-1679575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-1696720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-1679575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-1696720</wp:posOffset>
            </wp:positionV>
            <wp:extent cx="7747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-1679575</wp:posOffset>
            </wp:positionV>
            <wp:extent cx="7747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-24765</wp:posOffset>
            </wp:positionV>
            <wp:extent cx="68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-7620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-24765</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-7620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-24765</wp:posOffset>
            </wp:positionV>
            <wp:extent cx="685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-7620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-24765</wp:posOffset>
            </wp:positionV>
            <wp:extent cx="685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-7620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-24765</wp:posOffset>
            </wp:positionV>
            <wp:extent cx="685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-7620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REGENXBIO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48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420" w:type="dxa"/>
            <w:vAlign w:val="bottom"/>
            <w:tcBorders>
              <w:bottom w:val="single" w:sz="8" w:color="auto"/>
            </w:tcBorders>
            <w:gridSpan w:val="8"/>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Nine Months Ended September 30, 2026</w:t>
            </w: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4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center"/>
              <w:ind w:right="260"/>
              <w:spacing w:after="0" w:line="136" w:lineRule="exact"/>
              <w:rPr>
                <w:sz w:val="20"/>
                <w:szCs w:val="20"/>
                <w:color w:val="auto"/>
              </w:rPr>
            </w:pPr>
            <w:r>
              <w:rPr>
                <w:rFonts w:ascii="Times New Roman" w:cs="Times New Roman" w:eastAsia="Times New Roman" w:hAnsi="Times New Roman"/>
                <w:sz w:val="13"/>
                <w:szCs w:val="13"/>
                <w:b w:val="1"/>
                <w:bCs w:val="1"/>
                <w:color w:val="auto"/>
                <w:w w:val="94"/>
              </w:rPr>
              <w:t>Accumulated</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480" w:type="dxa"/>
            <w:vAlign w:val="bottom"/>
          </w:tcPr>
          <w:p>
            <w:pPr>
              <w:spacing w:after="0"/>
              <w:rPr>
                <w:sz w:val="12"/>
                <w:szCs w:val="12"/>
                <w:color w:val="auto"/>
              </w:rPr>
            </w:pPr>
          </w:p>
        </w:tc>
        <w:tc>
          <w:tcPr>
            <w:tcW w:w="1880" w:type="dxa"/>
            <w:vAlign w:val="bottom"/>
            <w:gridSpan w:val="3"/>
            <w:vMerge w:val="restart"/>
          </w:tcPr>
          <w:p>
            <w:pPr>
              <w:jc w:val="right"/>
              <w:ind w:right="368"/>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4"/>
              </w:rPr>
              <w:t>Additional</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42"/>
        </w:trPr>
        <w:tc>
          <w:tcPr>
            <w:tcW w:w="4480" w:type="dxa"/>
            <w:vAlign w:val="bottom"/>
          </w:tcPr>
          <w:p>
            <w:pPr>
              <w:spacing w:after="0"/>
              <w:rPr>
                <w:sz w:val="12"/>
                <w:szCs w:val="12"/>
                <w:color w:val="auto"/>
              </w:rPr>
            </w:pPr>
          </w:p>
        </w:tc>
        <w:tc>
          <w:tcPr>
            <w:tcW w:w="1880" w:type="dxa"/>
            <w:vAlign w:val="bottom"/>
            <w:tcBorders>
              <w:bottom w:val="single" w:sz="8" w:color="auto"/>
            </w:tcBorders>
            <w:gridSpan w:val="3"/>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80"/>
              <w:spacing w:after="0" w:line="142" w:lineRule="exact"/>
              <w:rPr>
                <w:sz w:val="20"/>
                <w:szCs w:val="20"/>
                <w:color w:val="auto"/>
              </w:rPr>
            </w:pPr>
            <w:r>
              <w:rPr>
                <w:rFonts w:ascii="Times New Roman" w:cs="Times New Roman" w:eastAsia="Times New Roman" w:hAnsi="Times New Roman"/>
                <w:sz w:val="13"/>
                <w:szCs w:val="13"/>
                <w:b w:val="1"/>
                <w:bCs w:val="1"/>
                <w:color w:val="auto"/>
                <w:w w:val="98"/>
              </w:rPr>
              <w:t>Paid-in</w:t>
            </w:r>
          </w:p>
        </w:tc>
        <w:tc>
          <w:tcPr>
            <w:tcW w:w="100" w:type="dxa"/>
            <w:vAlign w:val="bottom"/>
          </w:tcPr>
          <w:p>
            <w:pPr>
              <w:spacing w:after="0"/>
              <w:rPr>
                <w:sz w:val="12"/>
                <w:szCs w:val="12"/>
                <w:color w:val="auto"/>
              </w:rPr>
            </w:pPr>
          </w:p>
        </w:tc>
        <w:tc>
          <w:tcPr>
            <w:tcW w:w="104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3"/>
                <w:szCs w:val="13"/>
                <w:b w:val="1"/>
                <w:bCs w:val="1"/>
                <w:color w:val="auto"/>
                <w:w w:val="96"/>
              </w:rPr>
              <w:t>Stockholders’</w:t>
            </w:r>
          </w:p>
        </w:tc>
        <w:tc>
          <w:tcPr>
            <w:tcW w:w="0" w:type="dxa"/>
            <w:vAlign w:val="bottom"/>
          </w:tcPr>
          <w:p>
            <w:pPr>
              <w:spacing w:after="0"/>
              <w:rPr>
                <w:sz w:val="1"/>
                <w:szCs w:val="1"/>
                <w:color w:val="auto"/>
              </w:rPr>
            </w:pPr>
          </w:p>
        </w:tc>
      </w:tr>
      <w:tr>
        <w:trPr>
          <w:trHeight w:val="129"/>
        </w:trPr>
        <w:tc>
          <w:tcPr>
            <w:tcW w:w="4480" w:type="dxa"/>
            <w:vAlign w:val="bottom"/>
          </w:tcPr>
          <w:p>
            <w:pPr>
              <w:spacing w:after="0"/>
              <w:rPr>
                <w:sz w:val="11"/>
                <w:szCs w:val="11"/>
                <w:color w:val="auto"/>
              </w:rPr>
            </w:pPr>
          </w:p>
        </w:tc>
        <w:tc>
          <w:tcPr>
            <w:tcW w:w="940" w:type="dxa"/>
            <w:vAlign w:val="bottom"/>
            <w:tcBorders>
              <w:bottom w:val="single" w:sz="8" w:color="auto"/>
            </w:tcBorders>
          </w:tcPr>
          <w:p>
            <w:pPr>
              <w:jc w:val="right"/>
              <w:ind w:right="222"/>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240" w:type="dxa"/>
            <w:vAlign w:val="bottom"/>
          </w:tcPr>
          <w:p>
            <w:pPr>
              <w:spacing w:after="0"/>
              <w:rPr>
                <w:sz w:val="11"/>
                <w:szCs w:val="11"/>
                <w:color w:val="auto"/>
              </w:rPr>
            </w:pPr>
          </w:p>
        </w:tc>
        <w:tc>
          <w:tcPr>
            <w:tcW w:w="7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20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center"/>
              <w:ind w:right="43"/>
              <w:spacing w:after="0" w:line="129" w:lineRule="exact"/>
              <w:rPr>
                <w:sz w:val="20"/>
                <w:szCs w:val="20"/>
                <w:color w:val="auto"/>
              </w:rPr>
            </w:pPr>
            <w:r>
              <w:rPr>
                <w:rFonts w:ascii="Times New Roman" w:cs="Times New Roman" w:eastAsia="Times New Roman" w:hAnsi="Times New Roman"/>
                <w:sz w:val="13"/>
                <w:szCs w:val="13"/>
                <w:b w:val="1"/>
                <w:bCs w:val="1"/>
                <w:color w:val="auto"/>
                <w:w w:val="97"/>
              </w:rPr>
              <w:t>Capital</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center"/>
              <w:ind w:right="23"/>
              <w:spacing w:after="0" w:line="129" w:lineRule="exact"/>
              <w:rPr>
                <w:sz w:val="20"/>
                <w:szCs w:val="20"/>
                <w:color w:val="auto"/>
              </w:rPr>
            </w:pPr>
            <w:r>
              <w:rPr>
                <w:rFonts w:ascii="Times New Roman" w:cs="Times New Roman" w:eastAsia="Times New Roman" w:hAnsi="Times New Roman"/>
                <w:sz w:val="13"/>
                <w:szCs w:val="13"/>
                <w:b w:val="1"/>
                <w:bCs w:val="1"/>
                <w:color w:val="auto"/>
              </w:rPr>
              <w:t>Loss</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center"/>
              <w:ind w:right="22"/>
              <w:spacing w:after="0" w:line="129" w:lineRule="exact"/>
              <w:rPr>
                <w:sz w:val="20"/>
                <w:szCs w:val="20"/>
                <w:color w:val="auto"/>
              </w:rPr>
            </w:pPr>
            <w:r>
              <w:rPr>
                <w:rFonts w:ascii="Times New Roman" w:cs="Times New Roman" w:eastAsia="Times New Roman" w:hAnsi="Times New Roman"/>
                <w:sz w:val="13"/>
                <w:szCs w:val="13"/>
                <w:b w:val="1"/>
                <w:bCs w:val="1"/>
                <w:color w:val="auto"/>
                <w:w w:val="97"/>
              </w:rPr>
              <w:t>Deficit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center"/>
              <w:ind w:right="3"/>
              <w:spacing w:after="0" w:line="129" w:lineRule="exact"/>
              <w:rPr>
                <w:sz w:val="20"/>
                <w:szCs w:val="20"/>
                <w:color w:val="auto"/>
              </w:rPr>
            </w:pPr>
            <w:r>
              <w:rPr>
                <w:rFonts w:ascii="Times New Roman" w:cs="Times New Roman" w:eastAsia="Times New Roman" w:hAnsi="Times New Roman"/>
                <w:sz w:val="13"/>
                <w:szCs w:val="13"/>
                <w:b w:val="1"/>
                <w:bCs w:val="1"/>
                <w:color w:val="auto"/>
                <w:w w:val="95"/>
              </w:rPr>
              <w:t>Equity</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Balances at December 31, 2025</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50,892</w:t>
            </w:r>
          </w:p>
        </w:tc>
        <w:tc>
          <w:tcPr>
            <w:tcW w:w="940" w:type="dxa"/>
            <w:vAlign w:val="bottom"/>
            <w:gridSpan w:val="2"/>
            <w:shd w:val="clear" w:color="auto" w:fill="CFF0FC"/>
          </w:tcPr>
          <w:p>
            <w:pPr>
              <w:jc w:val="right"/>
              <w:ind w:right="548"/>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1,229,442</w:t>
            </w:r>
          </w:p>
        </w:tc>
        <w:tc>
          <w:tcPr>
            <w:tcW w:w="160" w:type="dxa"/>
            <w:vAlign w:val="bottom"/>
            <w:shd w:val="clear" w:color="auto" w:fill="CFF0FC"/>
          </w:tcPr>
          <w:p>
            <w:pPr>
              <w:spacing w:after="0"/>
              <w:rPr>
                <w:sz w:val="17"/>
                <w:szCs w:val="17"/>
                <w:color w:val="auto"/>
              </w:rPr>
            </w:pPr>
          </w:p>
        </w:tc>
        <w:tc>
          <w:tcPr>
            <w:tcW w:w="18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(687)</w:t>
            </w: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(1,126,027)</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102,733</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80" w:type="dxa"/>
            <w:vAlign w:val="bottom"/>
          </w:tcPr>
          <w:p>
            <w:pPr>
              <w:spacing w:after="0"/>
              <w:rPr>
                <w:sz w:val="20"/>
                <w:szCs w:val="20"/>
                <w:color w:val="auto"/>
              </w:rPr>
            </w:pPr>
            <w:r>
              <w:rPr>
                <w:rFonts w:ascii="Times New Roman" w:cs="Times New Roman" w:eastAsia="Times New Roman" w:hAnsi="Times New Roman"/>
                <w:sz w:val="16"/>
                <w:szCs w:val="16"/>
                <w:color w:val="auto"/>
              </w:rPr>
              <w:t>Vesting of restricted stock units, net of tax</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957</w:t>
            </w: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(1,055)</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(1,055)</w:t>
            </w:r>
          </w:p>
        </w:tc>
        <w:tc>
          <w:tcPr>
            <w:tcW w:w="0" w:type="dxa"/>
            <w:vAlign w:val="bottom"/>
          </w:tcPr>
          <w:p>
            <w:pPr>
              <w:spacing w:after="0"/>
              <w:rPr>
                <w:sz w:val="1"/>
                <w:szCs w:val="1"/>
                <w:color w:val="auto"/>
              </w:rPr>
            </w:pPr>
          </w:p>
        </w:tc>
      </w:tr>
      <w:tr>
        <w:trPr>
          <w:trHeight w:val="203"/>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Exercise of stock options, net of tax</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2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816</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816</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48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 stock under employee</w:t>
            </w: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4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stock purchase plan</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Issuance of common stock and pre-funded warrants</w:t>
            </w:r>
          </w:p>
        </w:tc>
        <w:tc>
          <w:tcPr>
            <w:tcW w:w="9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upon public offering, net of transaction costs of $360</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11,671</w:t>
            </w:r>
          </w:p>
        </w:tc>
        <w:tc>
          <w:tcPr>
            <w:tcW w:w="2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107,775</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107,777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48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 stock under at-the-market</w:t>
            </w: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4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offering program, net of transaction costs of $624</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2,319</w:t>
            </w: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18,875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18,875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25,790</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25,790</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80" w:type="dxa"/>
            <w:vAlign w:val="bottom"/>
          </w:tcPr>
          <w:p>
            <w:pPr>
              <w:spacing w:after="0"/>
              <w:rPr>
                <w:sz w:val="20"/>
                <w:szCs w:val="20"/>
                <w:color w:val="auto"/>
              </w:rPr>
            </w:pPr>
            <w:r>
              <w:rPr>
                <w:rFonts w:ascii="Times New Roman" w:cs="Times New Roman" w:eastAsia="Times New Roman" w:hAnsi="Times New Roman"/>
                <w:sz w:val="16"/>
                <w:szCs w:val="16"/>
                <w:color w:val="auto"/>
              </w:rPr>
              <w:t>Unrealized loss on available-for-sale securities, net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(358)</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(358)</w:t>
            </w:r>
          </w:p>
        </w:tc>
        <w:tc>
          <w:tcPr>
            <w:tcW w:w="0" w:type="dxa"/>
            <w:vAlign w:val="bottom"/>
          </w:tcPr>
          <w:p>
            <w:pPr>
              <w:spacing w:after="0"/>
              <w:rPr>
                <w:sz w:val="1"/>
                <w:szCs w:val="1"/>
                <w:color w:val="auto"/>
              </w:rPr>
            </w:pPr>
          </w:p>
        </w:tc>
      </w:tr>
      <w:tr>
        <w:trPr>
          <w:trHeight w:val="203"/>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loss</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(108,080)</w:t>
            </w: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(108,080)</w:t>
            </w:r>
          </w:p>
        </w:tc>
        <w:tc>
          <w:tcPr>
            <w:tcW w:w="0" w:type="dxa"/>
            <w:vAlign w:val="bottom"/>
          </w:tcPr>
          <w:p>
            <w:pPr>
              <w:spacing w:after="0"/>
              <w:rPr>
                <w:sz w:val="1"/>
                <w:szCs w:val="1"/>
                <w:color w:val="auto"/>
              </w:rPr>
            </w:pPr>
          </w:p>
        </w:tc>
      </w:tr>
      <w:tr>
        <w:trPr>
          <w:trHeight w:val="20"/>
        </w:trPr>
        <w:tc>
          <w:tcPr>
            <w:tcW w:w="448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Balances at September 30, 2026</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66,119</w:t>
            </w:r>
          </w:p>
        </w:tc>
        <w:tc>
          <w:tcPr>
            <w:tcW w:w="240" w:type="dxa"/>
            <w:vAlign w:val="bottom"/>
          </w:tcPr>
          <w:p>
            <w:pPr>
              <w:spacing w:after="0"/>
              <w:rPr>
                <w:sz w:val="17"/>
                <w:szCs w:val="17"/>
                <w:color w:val="auto"/>
              </w:rPr>
            </w:pPr>
          </w:p>
        </w:tc>
        <w:tc>
          <w:tcPr>
            <w:tcW w:w="700" w:type="dxa"/>
            <w:vAlign w:val="bottom"/>
          </w:tcPr>
          <w:p>
            <w:pPr>
              <w:jc w:val="right"/>
              <w:ind w:right="548"/>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1,383,187</w:t>
            </w:r>
          </w:p>
        </w:tc>
        <w:tc>
          <w:tcPr>
            <w:tcW w:w="160" w:type="dxa"/>
            <w:vAlign w:val="bottom"/>
          </w:tcPr>
          <w:p>
            <w:pPr>
              <w:spacing w:after="0"/>
              <w:rPr>
                <w:sz w:val="17"/>
                <w:szCs w:val="17"/>
                <w:color w:val="auto"/>
              </w:rPr>
            </w:pPr>
          </w:p>
        </w:tc>
        <w:tc>
          <w:tcPr>
            <w:tcW w:w="1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(1,045)</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(1,234,107)</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148,042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48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8"/>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Nine Months Ended September 30, 2025</w:t>
            </w: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44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center"/>
              <w:ind w:right="260"/>
              <w:spacing w:after="0" w:line="136" w:lineRule="exact"/>
              <w:rPr>
                <w:sz w:val="20"/>
                <w:szCs w:val="20"/>
                <w:color w:val="auto"/>
              </w:rPr>
            </w:pPr>
            <w:r>
              <w:rPr>
                <w:rFonts w:ascii="Times New Roman" w:cs="Times New Roman" w:eastAsia="Times New Roman" w:hAnsi="Times New Roman"/>
                <w:sz w:val="13"/>
                <w:szCs w:val="13"/>
                <w:b w:val="1"/>
                <w:bCs w:val="1"/>
                <w:color w:val="auto"/>
                <w:w w:val="94"/>
              </w:rPr>
              <w:t>Accumulated</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480" w:type="dxa"/>
            <w:vAlign w:val="bottom"/>
          </w:tcPr>
          <w:p>
            <w:pPr>
              <w:spacing w:after="0"/>
              <w:rPr>
                <w:sz w:val="12"/>
                <w:szCs w:val="12"/>
                <w:color w:val="auto"/>
              </w:rPr>
            </w:pPr>
          </w:p>
        </w:tc>
        <w:tc>
          <w:tcPr>
            <w:tcW w:w="1880" w:type="dxa"/>
            <w:vAlign w:val="bottom"/>
            <w:gridSpan w:val="3"/>
            <w:vMerge w:val="restart"/>
          </w:tcPr>
          <w:p>
            <w:pPr>
              <w:jc w:val="right"/>
              <w:ind w:right="368"/>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4"/>
              </w:rPr>
              <w:t>Additional</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42"/>
        </w:trPr>
        <w:tc>
          <w:tcPr>
            <w:tcW w:w="4480" w:type="dxa"/>
            <w:vAlign w:val="bottom"/>
          </w:tcPr>
          <w:p>
            <w:pPr>
              <w:spacing w:after="0"/>
              <w:rPr>
                <w:sz w:val="12"/>
                <w:szCs w:val="12"/>
                <w:color w:val="auto"/>
              </w:rPr>
            </w:pPr>
          </w:p>
        </w:tc>
        <w:tc>
          <w:tcPr>
            <w:tcW w:w="1880" w:type="dxa"/>
            <w:vAlign w:val="bottom"/>
            <w:tcBorders>
              <w:bottom w:val="single" w:sz="8" w:color="auto"/>
            </w:tcBorders>
            <w:gridSpan w:val="3"/>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80"/>
              <w:spacing w:after="0" w:line="142" w:lineRule="exact"/>
              <w:rPr>
                <w:sz w:val="20"/>
                <w:szCs w:val="20"/>
                <w:color w:val="auto"/>
              </w:rPr>
            </w:pPr>
            <w:r>
              <w:rPr>
                <w:rFonts w:ascii="Times New Roman" w:cs="Times New Roman" w:eastAsia="Times New Roman" w:hAnsi="Times New Roman"/>
                <w:sz w:val="13"/>
                <w:szCs w:val="13"/>
                <w:b w:val="1"/>
                <w:bCs w:val="1"/>
                <w:color w:val="auto"/>
                <w:w w:val="98"/>
              </w:rPr>
              <w:t>Paid-in</w:t>
            </w:r>
          </w:p>
        </w:tc>
        <w:tc>
          <w:tcPr>
            <w:tcW w:w="100" w:type="dxa"/>
            <w:vAlign w:val="bottom"/>
          </w:tcPr>
          <w:p>
            <w:pPr>
              <w:spacing w:after="0"/>
              <w:rPr>
                <w:sz w:val="12"/>
                <w:szCs w:val="12"/>
                <w:color w:val="auto"/>
              </w:rPr>
            </w:pPr>
          </w:p>
        </w:tc>
        <w:tc>
          <w:tcPr>
            <w:tcW w:w="104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3"/>
                <w:szCs w:val="13"/>
                <w:b w:val="1"/>
                <w:bCs w:val="1"/>
                <w:color w:val="auto"/>
                <w:w w:val="96"/>
              </w:rPr>
              <w:t>Stockholders’</w:t>
            </w:r>
          </w:p>
        </w:tc>
        <w:tc>
          <w:tcPr>
            <w:tcW w:w="0" w:type="dxa"/>
            <w:vAlign w:val="bottom"/>
          </w:tcPr>
          <w:p>
            <w:pPr>
              <w:spacing w:after="0"/>
              <w:rPr>
                <w:sz w:val="1"/>
                <w:szCs w:val="1"/>
                <w:color w:val="auto"/>
              </w:rPr>
            </w:pPr>
          </w:p>
        </w:tc>
      </w:tr>
      <w:tr>
        <w:trPr>
          <w:trHeight w:val="128"/>
        </w:trPr>
        <w:tc>
          <w:tcPr>
            <w:tcW w:w="4480" w:type="dxa"/>
            <w:vAlign w:val="bottom"/>
          </w:tcPr>
          <w:p>
            <w:pPr>
              <w:spacing w:after="0"/>
              <w:rPr>
                <w:sz w:val="11"/>
                <w:szCs w:val="11"/>
                <w:color w:val="auto"/>
              </w:rPr>
            </w:pPr>
          </w:p>
        </w:tc>
        <w:tc>
          <w:tcPr>
            <w:tcW w:w="940" w:type="dxa"/>
            <w:vAlign w:val="bottom"/>
            <w:tcBorders>
              <w:bottom w:val="single" w:sz="8" w:color="auto"/>
            </w:tcBorders>
          </w:tcPr>
          <w:p>
            <w:pPr>
              <w:jc w:val="right"/>
              <w:ind w:right="222"/>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240" w:type="dxa"/>
            <w:vAlign w:val="bottom"/>
          </w:tcPr>
          <w:p>
            <w:pPr>
              <w:spacing w:after="0"/>
              <w:rPr>
                <w:sz w:val="11"/>
                <w:szCs w:val="11"/>
                <w:color w:val="auto"/>
              </w:rPr>
            </w:pPr>
          </w:p>
        </w:tc>
        <w:tc>
          <w:tcPr>
            <w:tcW w:w="7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20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center"/>
              <w:ind w:right="43"/>
              <w:spacing w:after="0" w:line="129" w:lineRule="exact"/>
              <w:rPr>
                <w:sz w:val="20"/>
                <w:szCs w:val="20"/>
                <w:color w:val="auto"/>
              </w:rPr>
            </w:pPr>
            <w:r>
              <w:rPr>
                <w:rFonts w:ascii="Times New Roman" w:cs="Times New Roman" w:eastAsia="Times New Roman" w:hAnsi="Times New Roman"/>
                <w:sz w:val="13"/>
                <w:szCs w:val="13"/>
                <w:b w:val="1"/>
                <w:bCs w:val="1"/>
                <w:color w:val="auto"/>
                <w:w w:val="97"/>
              </w:rPr>
              <w:t>Capital</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center"/>
              <w:ind w:right="23"/>
              <w:spacing w:after="0" w:line="129" w:lineRule="exact"/>
              <w:rPr>
                <w:sz w:val="20"/>
                <w:szCs w:val="20"/>
                <w:color w:val="auto"/>
              </w:rPr>
            </w:pPr>
            <w:r>
              <w:rPr>
                <w:rFonts w:ascii="Times New Roman" w:cs="Times New Roman" w:eastAsia="Times New Roman" w:hAnsi="Times New Roman"/>
                <w:sz w:val="13"/>
                <w:szCs w:val="13"/>
                <w:b w:val="1"/>
                <w:bCs w:val="1"/>
                <w:color w:val="auto"/>
              </w:rPr>
              <w:t>Loss</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center"/>
              <w:ind w:right="22"/>
              <w:spacing w:after="0" w:line="129" w:lineRule="exact"/>
              <w:rPr>
                <w:sz w:val="20"/>
                <w:szCs w:val="20"/>
                <w:color w:val="auto"/>
              </w:rPr>
            </w:pPr>
            <w:r>
              <w:rPr>
                <w:rFonts w:ascii="Times New Roman" w:cs="Times New Roman" w:eastAsia="Times New Roman" w:hAnsi="Times New Roman"/>
                <w:sz w:val="13"/>
                <w:szCs w:val="13"/>
                <w:b w:val="1"/>
                <w:bCs w:val="1"/>
                <w:color w:val="auto"/>
                <w:w w:val="97"/>
              </w:rPr>
              <w:t>Deficit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center"/>
              <w:ind w:right="3"/>
              <w:spacing w:after="0" w:line="129" w:lineRule="exact"/>
              <w:rPr>
                <w:sz w:val="20"/>
                <w:szCs w:val="20"/>
                <w:color w:val="auto"/>
              </w:rPr>
            </w:pPr>
            <w:r>
              <w:rPr>
                <w:rFonts w:ascii="Times New Roman" w:cs="Times New Roman" w:eastAsia="Times New Roman" w:hAnsi="Times New Roman"/>
                <w:sz w:val="13"/>
                <w:szCs w:val="13"/>
                <w:b w:val="1"/>
                <w:bCs w:val="1"/>
                <w:color w:val="auto"/>
                <w:w w:val="95"/>
              </w:rPr>
              <w:t>Equity</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Balances at December 31, 2024</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49,549</w:t>
            </w:r>
          </w:p>
        </w:tc>
        <w:tc>
          <w:tcPr>
            <w:tcW w:w="940" w:type="dxa"/>
            <w:vAlign w:val="bottom"/>
            <w:gridSpan w:val="2"/>
            <w:shd w:val="clear" w:color="auto" w:fill="CFF0FC"/>
          </w:tcPr>
          <w:p>
            <w:pPr>
              <w:jc w:val="right"/>
              <w:ind w:right="548"/>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1,192,536</w:t>
            </w:r>
          </w:p>
        </w:tc>
        <w:tc>
          <w:tcPr>
            <w:tcW w:w="160" w:type="dxa"/>
            <w:vAlign w:val="bottom"/>
            <w:shd w:val="clear" w:color="auto" w:fill="CFF0FC"/>
          </w:tcPr>
          <w:p>
            <w:pPr>
              <w:spacing w:after="0"/>
              <w:rPr>
                <w:sz w:val="17"/>
                <w:szCs w:val="17"/>
                <w:color w:val="auto"/>
              </w:rPr>
            </w:pPr>
          </w:p>
        </w:tc>
        <w:tc>
          <w:tcPr>
            <w:tcW w:w="18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(741)</w:t>
            </w: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(932,149)</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259,651</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80" w:type="dxa"/>
            <w:vAlign w:val="bottom"/>
          </w:tcPr>
          <w:p>
            <w:pPr>
              <w:spacing w:after="0"/>
              <w:rPr>
                <w:sz w:val="20"/>
                <w:szCs w:val="20"/>
                <w:color w:val="auto"/>
              </w:rPr>
            </w:pPr>
            <w:r>
              <w:rPr>
                <w:rFonts w:ascii="Times New Roman" w:cs="Times New Roman" w:eastAsia="Times New Roman" w:hAnsi="Times New Roman"/>
                <w:sz w:val="16"/>
                <w:szCs w:val="16"/>
                <w:color w:val="auto"/>
              </w:rPr>
              <w:t>Vesting of restricted stock units, net of tax</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652</w:t>
            </w: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(633)</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(633)</w:t>
            </w:r>
          </w:p>
        </w:tc>
        <w:tc>
          <w:tcPr>
            <w:tcW w:w="0" w:type="dxa"/>
            <w:vAlign w:val="bottom"/>
          </w:tcPr>
          <w:p>
            <w:pPr>
              <w:spacing w:after="0"/>
              <w:rPr>
                <w:sz w:val="1"/>
                <w:szCs w:val="1"/>
                <w:color w:val="auto"/>
              </w:rPr>
            </w:pPr>
          </w:p>
        </w:tc>
      </w:tr>
      <w:tr>
        <w:trPr>
          <w:trHeight w:val="203"/>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Exercise of stock options, net of tax</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2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48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 stock under employee</w:t>
            </w: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4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stock purchase plan</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Issuance of warrants, net of transaction costs</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1,610</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1,610</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80" w:type="dxa"/>
            <w:vAlign w:val="bottom"/>
          </w:tcPr>
          <w:p>
            <w:pPr>
              <w:spacing w:after="0"/>
              <w:rPr>
                <w:sz w:val="20"/>
                <w:szCs w:val="20"/>
                <w:color w:val="auto"/>
              </w:rPr>
            </w:pPr>
            <w:r>
              <w:rPr>
                <w:rFonts w:ascii="Times New Roman" w:cs="Times New Roman" w:eastAsia="Times New Roman" w:hAnsi="Times New Roman"/>
                <w:sz w:val="16"/>
                <w:szCs w:val="16"/>
                <w:color w:val="auto"/>
              </w:rPr>
              <w:t>Exercise of pre-funded warrants</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26,188</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26,188</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80" w:type="dxa"/>
            <w:vAlign w:val="bottom"/>
          </w:tcPr>
          <w:p>
            <w:pPr>
              <w:spacing w:after="0"/>
              <w:rPr>
                <w:sz w:val="20"/>
                <w:szCs w:val="20"/>
                <w:color w:val="auto"/>
              </w:rPr>
            </w:pPr>
            <w:r>
              <w:rPr>
                <w:rFonts w:ascii="Times New Roman" w:cs="Times New Roman" w:eastAsia="Times New Roman" w:hAnsi="Times New Roman"/>
                <w:sz w:val="16"/>
                <w:szCs w:val="16"/>
                <w:color w:val="auto"/>
              </w:rPr>
              <w:t>Unrealized gain on available-for-sale securities, net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loss</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(126,729)</w:t>
            </w: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(126,729)</w:t>
            </w:r>
          </w:p>
        </w:tc>
        <w:tc>
          <w:tcPr>
            <w:tcW w:w="0" w:type="dxa"/>
            <w:vAlign w:val="bottom"/>
          </w:tcPr>
          <w:p>
            <w:pPr>
              <w:spacing w:after="0"/>
              <w:rPr>
                <w:sz w:val="1"/>
                <w:szCs w:val="1"/>
                <w:color w:val="auto"/>
              </w:rPr>
            </w:pPr>
          </w:p>
        </w:tc>
      </w:tr>
      <w:tr>
        <w:trPr>
          <w:trHeight w:val="20"/>
        </w:trPr>
        <w:tc>
          <w:tcPr>
            <w:tcW w:w="448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Balances at September 30, 2025</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50,619</w:t>
            </w:r>
          </w:p>
        </w:tc>
        <w:tc>
          <w:tcPr>
            <w:tcW w:w="240" w:type="dxa"/>
            <w:vAlign w:val="bottom"/>
          </w:tcPr>
          <w:p>
            <w:pPr>
              <w:spacing w:after="0"/>
              <w:rPr>
                <w:sz w:val="17"/>
                <w:szCs w:val="17"/>
                <w:color w:val="auto"/>
              </w:rPr>
            </w:pPr>
          </w:p>
        </w:tc>
        <w:tc>
          <w:tcPr>
            <w:tcW w:w="700" w:type="dxa"/>
            <w:vAlign w:val="bottom"/>
          </w:tcPr>
          <w:p>
            <w:pPr>
              <w:jc w:val="right"/>
              <w:ind w:right="548"/>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1,220,977</w:t>
            </w:r>
          </w:p>
        </w:tc>
        <w:tc>
          <w:tcPr>
            <w:tcW w:w="160" w:type="dxa"/>
            <w:vAlign w:val="bottom"/>
          </w:tcPr>
          <w:p>
            <w:pPr>
              <w:spacing w:after="0"/>
              <w:rPr>
                <w:sz w:val="17"/>
                <w:szCs w:val="17"/>
                <w:color w:val="auto"/>
              </w:rPr>
            </w:pPr>
          </w:p>
        </w:tc>
        <w:tc>
          <w:tcPr>
            <w:tcW w:w="1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(652)</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(1,058,878)</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161,452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3442335</wp:posOffset>
            </wp:positionH>
            <wp:positionV relativeFrom="paragraph">
              <wp:posOffset>-2245360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-2245360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-2245360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-2245360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-2245360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-2245360</wp:posOffset>
            </wp:positionV>
            <wp:extent cx="7747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-161925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-161925</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-161925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-161925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-161925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-161925</wp:posOffset>
            </wp:positionV>
            <wp:extent cx="7747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REGENXBIO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5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3360" w:type="dxa"/>
            <w:vAlign w:val="bottom"/>
            <w:gridSpan w:val="6"/>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65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0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ind w:right="53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196"/>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3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2240" w:type="dxa"/>
            <w:vAlign w:val="bottom"/>
            <w:gridSpan w:val="2"/>
          </w:tcPr>
          <w:p>
            <w:pPr>
              <w:jc w:val="right"/>
              <w:ind w:right="748"/>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(108,080)</w:t>
            </w:r>
          </w:p>
        </w:tc>
        <w:tc>
          <w:tcPr>
            <w:tcW w:w="3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(126,729)</w:t>
            </w:r>
          </w:p>
        </w:tc>
      </w:tr>
      <w:tr>
        <w:trPr>
          <w:trHeight w:val="203"/>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13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5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25,790</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26,188</w:t>
            </w:r>
          </w:p>
        </w:tc>
        <w:tc>
          <w:tcPr>
            <w:tcW w:w="100" w:type="dxa"/>
            <w:vAlign w:val="bottom"/>
          </w:tcPr>
          <w:p>
            <w:pPr>
              <w:spacing w:after="0"/>
              <w:rPr>
                <w:sz w:val="17"/>
                <w:szCs w:val="17"/>
                <w:color w:val="auto"/>
              </w:rPr>
            </w:pPr>
          </w:p>
        </w:tc>
      </w:tr>
      <w:tr>
        <w:trPr>
          <w:trHeight w:val="203"/>
        </w:trPr>
        <w:tc>
          <w:tcPr>
            <w:tcW w:w="65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3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11,129</w:t>
            </w: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11,746</w:t>
            </w:r>
          </w:p>
        </w:tc>
        <w:tc>
          <w:tcPr>
            <w:tcW w:w="100" w:type="dxa"/>
            <w:vAlign w:val="bottom"/>
            <w:shd w:val="clear" w:color="auto" w:fill="CFF0FC"/>
          </w:tcPr>
          <w:p>
            <w:pPr>
              <w:spacing w:after="0"/>
              <w:rPr>
                <w:sz w:val="17"/>
                <w:szCs w:val="17"/>
                <w:color w:val="auto"/>
              </w:rPr>
            </w:pPr>
          </w:p>
        </w:tc>
      </w:tr>
      <w:tr>
        <w:trPr>
          <w:trHeight w:val="203"/>
        </w:trPr>
        <w:tc>
          <w:tcPr>
            <w:tcW w:w="65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Net accretion of discounts on marketable debt securities</w:t>
            </w:r>
          </w:p>
        </w:tc>
        <w:tc>
          <w:tcPr>
            <w:tcW w:w="1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(1,683)</w:t>
            </w:r>
          </w:p>
        </w:tc>
        <w:tc>
          <w:tcPr>
            <w:tcW w:w="340" w:type="dxa"/>
            <w:vAlign w:val="bottom"/>
          </w:tcPr>
          <w:p>
            <w:pPr>
              <w:spacing w:after="0"/>
              <w:rPr>
                <w:sz w:val="17"/>
                <w:szCs w:val="17"/>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(4,250)</w:t>
            </w:r>
          </w:p>
        </w:tc>
      </w:tr>
      <w:tr>
        <w:trPr>
          <w:trHeight w:val="203"/>
        </w:trPr>
        <w:tc>
          <w:tcPr>
            <w:tcW w:w="65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Net realized gain on investments</w:t>
            </w:r>
          </w:p>
        </w:tc>
        <w:tc>
          <w:tcPr>
            <w:tcW w:w="13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(16)</w:t>
            </w:r>
          </w:p>
        </w:tc>
        <w:tc>
          <w:tcPr>
            <w:tcW w:w="34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(62)</w:t>
            </w:r>
          </w:p>
        </w:tc>
      </w:tr>
      <w:tr>
        <w:trPr>
          <w:trHeight w:val="203"/>
        </w:trPr>
        <w:tc>
          <w:tcPr>
            <w:tcW w:w="65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Non-cash interest expense</w:t>
            </w:r>
          </w:p>
        </w:tc>
        <w:tc>
          <w:tcPr>
            <w:tcW w:w="1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15,922</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7,795</w:t>
            </w:r>
          </w:p>
        </w:tc>
        <w:tc>
          <w:tcPr>
            <w:tcW w:w="100" w:type="dxa"/>
            <w:vAlign w:val="bottom"/>
          </w:tcPr>
          <w:p>
            <w:pPr>
              <w:spacing w:after="0"/>
              <w:rPr>
                <w:sz w:val="17"/>
                <w:szCs w:val="17"/>
                <w:color w:val="auto"/>
              </w:rPr>
            </w:pPr>
          </w:p>
        </w:tc>
      </w:tr>
      <w:tr>
        <w:trPr>
          <w:trHeight w:val="203"/>
        </w:trPr>
        <w:tc>
          <w:tcPr>
            <w:tcW w:w="65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Other non-cash adjustments</w:t>
            </w:r>
          </w:p>
        </w:tc>
        <w:tc>
          <w:tcPr>
            <w:tcW w:w="13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(8)</w:t>
            </w:r>
          </w:p>
        </w:tc>
        <w:tc>
          <w:tcPr>
            <w:tcW w:w="34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shd w:val="clear" w:color="auto" w:fill="CFF0FC"/>
          </w:tcPr>
          <w:p>
            <w:pPr>
              <w:spacing w:after="0"/>
              <w:rPr>
                <w:sz w:val="17"/>
                <w:szCs w:val="17"/>
                <w:color w:val="auto"/>
              </w:rPr>
            </w:pPr>
          </w:p>
        </w:tc>
      </w:tr>
      <w:tr>
        <w:trPr>
          <w:trHeight w:val="203"/>
        </w:trPr>
        <w:tc>
          <w:tcPr>
            <w:tcW w:w="65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5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Accounts receivable</w:t>
            </w:r>
          </w:p>
        </w:tc>
        <w:tc>
          <w:tcPr>
            <w:tcW w:w="13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19,754</w:t>
            </w: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(7,100)</w:t>
            </w:r>
          </w:p>
        </w:tc>
      </w:tr>
      <w:tr>
        <w:trPr>
          <w:trHeight w:val="203"/>
        </w:trPr>
        <w:tc>
          <w:tcPr>
            <w:tcW w:w="65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Prepaid expenses</w:t>
            </w:r>
          </w:p>
        </w:tc>
        <w:tc>
          <w:tcPr>
            <w:tcW w:w="1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(1,082)</w:t>
            </w:r>
          </w:p>
        </w:tc>
        <w:tc>
          <w:tcPr>
            <w:tcW w:w="340" w:type="dxa"/>
            <w:vAlign w:val="bottom"/>
          </w:tcPr>
          <w:p>
            <w:pPr>
              <w:spacing w:after="0"/>
              <w:rPr>
                <w:sz w:val="17"/>
                <w:szCs w:val="17"/>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(3,876)</w:t>
            </w:r>
          </w:p>
        </w:tc>
      </w:tr>
      <w:tr>
        <w:trPr>
          <w:trHeight w:val="202"/>
        </w:trPr>
        <w:tc>
          <w:tcPr>
            <w:tcW w:w="65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Other current assets</w:t>
            </w:r>
          </w:p>
        </w:tc>
        <w:tc>
          <w:tcPr>
            <w:tcW w:w="13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(35,417)</w:t>
            </w:r>
          </w:p>
        </w:tc>
        <w:tc>
          <w:tcPr>
            <w:tcW w:w="34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(5,586)</w:t>
            </w:r>
          </w:p>
        </w:tc>
      </w:tr>
      <w:tr>
        <w:trPr>
          <w:trHeight w:val="203"/>
        </w:trPr>
        <w:tc>
          <w:tcPr>
            <w:tcW w:w="65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4,989</w:t>
            </w:r>
          </w:p>
        </w:tc>
        <w:tc>
          <w:tcPr>
            <w:tcW w:w="100" w:type="dxa"/>
            <w:vAlign w:val="bottom"/>
          </w:tcPr>
          <w:p>
            <w:pPr>
              <w:spacing w:after="0"/>
              <w:rPr>
                <w:sz w:val="17"/>
                <w:szCs w:val="17"/>
                <w:color w:val="auto"/>
              </w:rPr>
            </w:pPr>
          </w:p>
        </w:tc>
      </w:tr>
      <w:tr>
        <w:trPr>
          <w:trHeight w:val="203"/>
        </w:trPr>
        <w:tc>
          <w:tcPr>
            <w:tcW w:w="65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Other assets</w:t>
            </w:r>
          </w:p>
        </w:tc>
        <w:tc>
          <w:tcPr>
            <w:tcW w:w="13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(687)</w:t>
            </w:r>
          </w:p>
        </w:tc>
        <w:tc>
          <w:tcPr>
            <w:tcW w:w="34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(268)</w:t>
            </w:r>
          </w:p>
        </w:tc>
      </w:tr>
      <w:tr>
        <w:trPr>
          <w:trHeight w:val="203"/>
        </w:trPr>
        <w:tc>
          <w:tcPr>
            <w:tcW w:w="65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Accounts payable</w:t>
            </w:r>
          </w:p>
        </w:tc>
        <w:tc>
          <w:tcPr>
            <w:tcW w:w="1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(6,989)</w:t>
            </w:r>
          </w:p>
        </w:tc>
        <w:tc>
          <w:tcPr>
            <w:tcW w:w="340" w:type="dxa"/>
            <w:vAlign w:val="bottom"/>
          </w:tcPr>
          <w:p>
            <w:pPr>
              <w:spacing w:after="0"/>
              <w:rPr>
                <w:sz w:val="17"/>
                <w:szCs w:val="17"/>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(423)</w:t>
            </w:r>
          </w:p>
        </w:tc>
      </w:tr>
      <w:tr>
        <w:trPr>
          <w:trHeight w:val="203"/>
        </w:trPr>
        <w:tc>
          <w:tcPr>
            <w:tcW w:w="65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3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(9,051)</w:t>
            </w:r>
          </w:p>
        </w:tc>
        <w:tc>
          <w:tcPr>
            <w:tcW w:w="34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100" w:type="dxa"/>
            <w:vAlign w:val="bottom"/>
            <w:shd w:val="clear" w:color="auto" w:fill="CFF0FC"/>
          </w:tcPr>
          <w:p>
            <w:pPr>
              <w:spacing w:after="0"/>
              <w:rPr>
                <w:sz w:val="17"/>
                <w:szCs w:val="17"/>
                <w:color w:val="auto"/>
              </w:rPr>
            </w:pPr>
          </w:p>
        </w:tc>
      </w:tr>
      <w:tr>
        <w:trPr>
          <w:trHeight w:val="203"/>
        </w:trPr>
        <w:tc>
          <w:tcPr>
            <w:tcW w:w="65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Deferred revenue</w:t>
            </w:r>
          </w:p>
        </w:tc>
        <w:tc>
          <w:tcPr>
            <w:tcW w:w="1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(7,189)</w:t>
            </w: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34,266</w:t>
            </w:r>
          </w:p>
        </w:tc>
        <w:tc>
          <w:tcPr>
            <w:tcW w:w="100" w:type="dxa"/>
            <w:vAlign w:val="bottom"/>
          </w:tcPr>
          <w:p>
            <w:pPr>
              <w:spacing w:after="0"/>
              <w:rPr>
                <w:sz w:val="17"/>
                <w:szCs w:val="17"/>
                <w:color w:val="auto"/>
              </w:rPr>
            </w:pPr>
          </w:p>
        </w:tc>
      </w:tr>
      <w:tr>
        <w:trPr>
          <w:trHeight w:val="203"/>
        </w:trPr>
        <w:tc>
          <w:tcPr>
            <w:tcW w:w="65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3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(7,045)</w:t>
            </w:r>
          </w:p>
        </w:tc>
        <w:tc>
          <w:tcPr>
            <w:tcW w:w="34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(5,620)</w:t>
            </w:r>
          </w:p>
        </w:tc>
      </w:tr>
      <w:tr>
        <w:trPr>
          <w:trHeight w:val="203"/>
        </w:trPr>
        <w:tc>
          <w:tcPr>
            <w:tcW w:w="65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Other liabilities</w:t>
            </w:r>
          </w:p>
        </w:tc>
        <w:tc>
          <w:tcPr>
            <w:tcW w:w="1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(163)</w:t>
            </w:r>
          </w:p>
        </w:tc>
        <w:tc>
          <w:tcPr>
            <w:tcW w:w="340" w:type="dxa"/>
            <w:vAlign w:val="bottom"/>
          </w:tcPr>
          <w:p>
            <w:pPr>
              <w:spacing w:after="0"/>
              <w:rPr>
                <w:sz w:val="17"/>
                <w:szCs w:val="17"/>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(2,987)</w:t>
            </w:r>
          </w:p>
        </w:tc>
      </w:tr>
      <w:tr>
        <w:trPr>
          <w:trHeight w:val="20"/>
        </w:trPr>
        <w:tc>
          <w:tcPr>
            <w:tcW w:w="65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54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13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(99,815)</w:t>
            </w:r>
          </w:p>
        </w:tc>
        <w:tc>
          <w:tcPr>
            <w:tcW w:w="34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(71,673)</w:t>
            </w:r>
          </w:p>
        </w:tc>
      </w:tr>
      <w:tr>
        <w:trPr>
          <w:trHeight w:val="203"/>
        </w:trPr>
        <w:tc>
          <w:tcPr>
            <w:tcW w:w="65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Purchases of marketable debt securities</w:t>
            </w:r>
          </w:p>
        </w:tc>
        <w:tc>
          <w:tcPr>
            <w:tcW w:w="13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(138,704)</w:t>
            </w:r>
          </w:p>
        </w:tc>
        <w:tc>
          <w:tcPr>
            <w:tcW w:w="34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(269,819)</w:t>
            </w:r>
          </w:p>
        </w:tc>
      </w:tr>
      <w:tr>
        <w:trPr>
          <w:trHeight w:val="203"/>
        </w:trPr>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Maturities of marketable debt securities</w:t>
            </w:r>
          </w:p>
        </w:tc>
        <w:tc>
          <w:tcPr>
            <w:tcW w:w="1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179,788</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218,257</w:t>
            </w:r>
          </w:p>
        </w:tc>
        <w:tc>
          <w:tcPr>
            <w:tcW w:w="100" w:type="dxa"/>
            <w:vAlign w:val="bottom"/>
          </w:tcPr>
          <w:p>
            <w:pPr>
              <w:spacing w:after="0"/>
              <w:rPr>
                <w:sz w:val="17"/>
                <w:szCs w:val="17"/>
                <w:color w:val="auto"/>
              </w:rPr>
            </w:pPr>
          </w:p>
        </w:tc>
      </w:tr>
      <w:tr>
        <w:trPr>
          <w:trHeight w:val="203"/>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Sales of marketable debt securities</w:t>
            </w:r>
          </w:p>
        </w:tc>
        <w:tc>
          <w:tcPr>
            <w:tcW w:w="13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11,465</w:t>
            </w: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Sales of equity securities</w:t>
            </w:r>
          </w:p>
        </w:tc>
        <w:tc>
          <w:tcPr>
            <w:tcW w:w="1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tcPr>
          <w:p>
            <w:pPr>
              <w:spacing w:after="0"/>
              <w:rPr>
                <w:sz w:val="17"/>
                <w:szCs w:val="17"/>
                <w:color w:val="auto"/>
              </w:rPr>
            </w:pPr>
          </w:p>
        </w:tc>
      </w:tr>
      <w:tr>
        <w:trPr>
          <w:trHeight w:val="203"/>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13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(2,189)</w:t>
            </w:r>
          </w:p>
        </w:tc>
        <w:tc>
          <w:tcPr>
            <w:tcW w:w="34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(1,906)</w:t>
            </w:r>
          </w:p>
        </w:tc>
      </w:tr>
      <w:tr>
        <w:trPr>
          <w:trHeight w:val="20"/>
        </w:trPr>
        <w:tc>
          <w:tcPr>
            <w:tcW w:w="6540" w:type="dxa"/>
            <w:vAlign w:val="bottom"/>
            <w:shd w:val="clear" w:color="auto" w:fill="CFF0FC"/>
          </w:tcPr>
          <w:p>
            <w:pPr>
              <w:spacing w:after="0" w:line="20" w:lineRule="exact"/>
              <w:rPr>
                <w:sz w:val="1"/>
                <w:szCs w:val="1"/>
                <w:color w:val="auto"/>
              </w:rPr>
            </w:pPr>
          </w:p>
        </w:tc>
        <w:tc>
          <w:tcPr>
            <w:tcW w:w="134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65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1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50,360</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(53,406)</w:t>
            </w:r>
          </w:p>
        </w:tc>
      </w:tr>
      <w:tr>
        <w:trPr>
          <w:trHeight w:val="203"/>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3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1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844</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100" w:type="dxa"/>
            <w:vAlign w:val="bottom"/>
          </w:tcPr>
          <w:p>
            <w:pPr>
              <w:spacing w:after="0"/>
              <w:rPr>
                <w:sz w:val="17"/>
                <w:szCs w:val="17"/>
                <w:color w:val="auto"/>
              </w:rPr>
            </w:pPr>
          </w:p>
        </w:tc>
      </w:tr>
      <w:tr>
        <w:trPr>
          <w:trHeight w:val="203"/>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Taxes paid related to net settlement of stock-based awards</w:t>
            </w:r>
          </w:p>
        </w:tc>
        <w:tc>
          <w:tcPr>
            <w:tcW w:w="13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(1,083)</w:t>
            </w:r>
          </w:p>
        </w:tc>
        <w:tc>
          <w:tcPr>
            <w:tcW w:w="34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(633)</w:t>
            </w:r>
          </w:p>
        </w:tc>
      </w:tr>
      <w:tr>
        <w:trPr>
          <w:trHeight w:val="203"/>
        </w:trPr>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issuance of common stock under employee stock purchase plan</w:t>
            </w:r>
          </w:p>
        </w:tc>
        <w:tc>
          <w:tcPr>
            <w:tcW w:w="1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1,544</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1,048</w:t>
            </w:r>
          </w:p>
        </w:tc>
        <w:tc>
          <w:tcPr>
            <w:tcW w:w="100" w:type="dxa"/>
            <w:vAlign w:val="bottom"/>
          </w:tcPr>
          <w:p>
            <w:pPr>
              <w:spacing w:after="0"/>
              <w:rPr>
                <w:sz w:val="17"/>
                <w:szCs w:val="17"/>
                <w:color w:val="auto"/>
              </w:rPr>
            </w:pPr>
          </w:p>
        </w:tc>
      </w:tr>
      <w:tr>
        <w:trPr>
          <w:trHeight w:val="189"/>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Proceeds from sales of common stock under at-the-market offering program,</w:t>
            </w:r>
          </w:p>
        </w:tc>
        <w:tc>
          <w:tcPr>
            <w:tcW w:w="134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16"/>
        </w:trPr>
        <w:tc>
          <w:tcPr>
            <w:tcW w:w="65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net of commissions</w:t>
            </w:r>
          </w:p>
        </w:tc>
        <w:tc>
          <w:tcPr>
            <w:tcW w:w="13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19,499</w:t>
            </w: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Expenses related to at-the-market offering program</w:t>
            </w:r>
          </w:p>
        </w:tc>
        <w:tc>
          <w:tcPr>
            <w:tcW w:w="1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(601)</w:t>
            </w:r>
          </w:p>
        </w:tc>
        <w:tc>
          <w:tcPr>
            <w:tcW w:w="340" w:type="dxa"/>
            <w:vAlign w:val="bottom"/>
          </w:tcPr>
          <w:p>
            <w:pPr>
              <w:spacing w:after="0"/>
              <w:rPr>
                <w:sz w:val="17"/>
                <w:szCs w:val="17"/>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(334)</w:t>
            </w:r>
          </w:p>
        </w:tc>
      </w:tr>
      <w:tr>
        <w:trPr>
          <w:trHeight w:val="189"/>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Proceeds from public offering of common stock and pre-funded warrants,</w:t>
            </w:r>
          </w:p>
        </w:tc>
        <w:tc>
          <w:tcPr>
            <w:tcW w:w="134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16"/>
        </w:trPr>
        <w:tc>
          <w:tcPr>
            <w:tcW w:w="65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net of issuance costs</w:t>
            </w:r>
          </w:p>
        </w:tc>
        <w:tc>
          <w:tcPr>
            <w:tcW w:w="13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107,777</w:t>
            </w: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issuance of royalty bond and warrants, net of transaction costs</w:t>
            </w:r>
          </w:p>
        </w:tc>
        <w:tc>
          <w:tcPr>
            <w:tcW w:w="1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144,493</w:t>
            </w:r>
          </w:p>
        </w:tc>
        <w:tc>
          <w:tcPr>
            <w:tcW w:w="100" w:type="dxa"/>
            <w:vAlign w:val="bottom"/>
          </w:tcPr>
          <w:p>
            <w:pPr>
              <w:spacing w:after="0"/>
              <w:rPr>
                <w:sz w:val="17"/>
                <w:szCs w:val="17"/>
                <w:color w:val="auto"/>
              </w:rPr>
            </w:pPr>
          </w:p>
        </w:tc>
      </w:tr>
      <w:tr>
        <w:trPr>
          <w:trHeight w:val="203"/>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Repayments under royalty monetization liabilities, net of interest</w:t>
            </w:r>
          </w:p>
        </w:tc>
        <w:tc>
          <w:tcPr>
            <w:tcW w:w="13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(17,196)</w:t>
            </w:r>
          </w:p>
        </w:tc>
        <w:tc>
          <w:tcPr>
            <w:tcW w:w="34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(18,447)</w:t>
            </w:r>
          </w:p>
        </w:tc>
      </w:tr>
      <w:tr>
        <w:trPr>
          <w:trHeight w:val="196"/>
        </w:trPr>
        <w:tc>
          <w:tcPr>
            <w:tcW w:w="6540" w:type="dxa"/>
            <w:vAlign w:val="bottom"/>
            <w:tcBorders>
              <w:top w:val="single" w:sz="8" w:color="CFF0FC"/>
            </w:tcBorders>
          </w:tcPr>
          <w:p>
            <w:pPr>
              <w:ind w:left="44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1340" w:type="dxa"/>
            <w:vAlign w:val="bottom"/>
            <w:tcBorders>
              <w:top w:val="single" w:sz="8" w:color="CFF0FC"/>
            </w:tcBorders>
          </w:tcPr>
          <w:p>
            <w:pPr>
              <w:spacing w:after="0"/>
              <w:rPr>
                <w:sz w:val="17"/>
                <w:szCs w:val="17"/>
                <w:color w:val="auto"/>
              </w:rPr>
            </w:pPr>
          </w:p>
        </w:tc>
        <w:tc>
          <w:tcPr>
            <w:tcW w:w="90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110,784</w:t>
            </w:r>
          </w:p>
        </w:tc>
        <w:tc>
          <w:tcPr>
            <w:tcW w:w="260" w:type="dxa"/>
            <w:vAlign w:val="bottom"/>
            <w:tcBorders>
              <w:top w:val="single" w:sz="8" w:color="CFF0FC"/>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126,355</w:t>
            </w:r>
          </w:p>
        </w:tc>
        <w:tc>
          <w:tcPr>
            <w:tcW w:w="100" w:type="dxa"/>
            <w:vAlign w:val="bottom"/>
            <w:tcBorders>
              <w:top w:val="single" w:sz="8" w:color="CFF0FC"/>
            </w:tcBorders>
          </w:tcPr>
          <w:p>
            <w:pPr>
              <w:spacing w:after="0"/>
              <w:rPr>
                <w:sz w:val="17"/>
                <w:szCs w:val="17"/>
                <w:color w:val="auto"/>
              </w:rPr>
            </w:pPr>
          </w:p>
        </w:tc>
      </w:tr>
      <w:tr>
        <w:trPr>
          <w:trHeight w:val="196"/>
        </w:trPr>
        <w:tc>
          <w:tcPr>
            <w:tcW w:w="654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6"/>
                <w:szCs w:val="16"/>
                <w:color w:val="auto"/>
              </w:rPr>
              <w:t>Net increase in cash and cash equivalents and restricted cash</w:t>
            </w:r>
          </w:p>
        </w:tc>
        <w:tc>
          <w:tcPr>
            <w:tcW w:w="13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61,329</w:t>
            </w: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1,276</w:t>
            </w:r>
          </w:p>
        </w:tc>
        <w:tc>
          <w:tcPr>
            <w:tcW w:w="100" w:type="dxa"/>
            <w:vAlign w:val="bottom"/>
            <w:shd w:val="clear" w:color="auto" w:fill="CFF0FC"/>
          </w:tcPr>
          <w:p>
            <w:pPr>
              <w:spacing w:after="0"/>
              <w:rPr>
                <w:sz w:val="17"/>
                <w:szCs w:val="17"/>
                <w:color w:val="auto"/>
              </w:rPr>
            </w:pPr>
          </w:p>
        </w:tc>
      </w:tr>
      <w:tr>
        <w:trPr>
          <w:trHeight w:val="202"/>
        </w:trPr>
        <w:tc>
          <w:tcPr>
            <w:tcW w:w="65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and cash equivalents and restricted cash</w:t>
            </w:r>
          </w:p>
        </w:tc>
        <w:tc>
          <w:tcPr>
            <w:tcW w:w="1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5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Beginning of period</w:t>
            </w:r>
          </w:p>
        </w:tc>
        <w:tc>
          <w:tcPr>
            <w:tcW w:w="1340" w:type="dxa"/>
            <w:vAlign w:val="bottom"/>
            <w:tcBorders>
              <w:bottom w:val="single" w:sz="8" w:color="CFF0FC"/>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36,496</w:t>
            </w:r>
          </w:p>
        </w:tc>
        <w:tc>
          <w:tcPr>
            <w:tcW w:w="26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59,556</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End of period</w:t>
            </w:r>
          </w:p>
        </w:tc>
        <w:tc>
          <w:tcPr>
            <w:tcW w:w="2240" w:type="dxa"/>
            <w:vAlign w:val="bottom"/>
            <w:gridSpan w:val="2"/>
          </w:tcPr>
          <w:p>
            <w:pPr>
              <w:jc w:val="right"/>
              <w:ind w:right="748"/>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97,825</w:t>
            </w:r>
          </w:p>
        </w:tc>
        <w:tc>
          <w:tcPr>
            <w:tcW w:w="260" w:type="dxa"/>
            <w:vAlign w:val="bottom"/>
          </w:tcPr>
          <w:p>
            <w:pPr>
              <w:spacing w:after="0"/>
              <w:rPr>
                <w:sz w:val="17"/>
                <w:szCs w:val="17"/>
                <w:color w:val="auto"/>
              </w:rPr>
            </w:pPr>
          </w:p>
        </w:tc>
        <w:tc>
          <w:tcPr>
            <w:tcW w:w="3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60,832</w:t>
            </w:r>
          </w:p>
        </w:tc>
        <w:tc>
          <w:tcPr>
            <w:tcW w:w="100" w:type="dxa"/>
            <w:vAlign w:val="bottom"/>
          </w:tcPr>
          <w:p>
            <w:pPr>
              <w:spacing w:after="0"/>
              <w:rPr>
                <w:sz w:val="17"/>
                <w:szCs w:val="17"/>
                <w:color w:val="auto"/>
              </w:rPr>
            </w:pPr>
          </w:p>
        </w:tc>
      </w:tr>
      <w:tr>
        <w:trPr>
          <w:trHeight w:val="20"/>
        </w:trPr>
        <w:tc>
          <w:tcPr>
            <w:tcW w:w="65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disclosures of non-cash investing and financing information</w:t>
            </w:r>
          </w:p>
        </w:tc>
        <w:tc>
          <w:tcPr>
            <w:tcW w:w="134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9"/>
        </w:trPr>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Purchases of property and equipment in accounts payable and accrued expenses</w:t>
            </w:r>
          </w:p>
        </w:tc>
        <w:tc>
          <w:tcPr>
            <w:tcW w:w="1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0"/>
        </w:trPr>
        <w:tc>
          <w:tcPr>
            <w:tcW w:w="65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and other current liabilities</w:t>
            </w:r>
          </w:p>
        </w:tc>
        <w:tc>
          <w:tcPr>
            <w:tcW w:w="2240" w:type="dxa"/>
            <w:vAlign w:val="bottom"/>
            <w:gridSpan w:val="2"/>
          </w:tcPr>
          <w:p>
            <w:pPr>
              <w:jc w:val="right"/>
              <w:ind w:right="748"/>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w:t>
            </w:r>
          </w:p>
        </w:tc>
        <w:tc>
          <w:tcPr>
            <w:tcW w:w="260" w:type="dxa"/>
            <w:vAlign w:val="bottom"/>
          </w:tcPr>
          <w:p>
            <w:pPr>
              <w:spacing w:after="0"/>
              <w:rPr>
                <w:sz w:val="18"/>
                <w:szCs w:val="18"/>
                <w:color w:val="auto"/>
              </w:rPr>
            </w:pPr>
          </w:p>
        </w:tc>
        <w:tc>
          <w:tcPr>
            <w:tcW w:w="3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-2626995</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-2626995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-1075690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-1075690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-544195</wp:posOffset>
            </wp:positionV>
            <wp:extent cx="685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-544195</wp:posOffset>
            </wp:positionV>
            <wp:extent cx="685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REGENXBIO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Business</w:t>
      </w:r>
    </w:p>
    <w:p>
      <w:pPr>
        <w:spacing w:after="0" w:line="121" w:lineRule="exact"/>
        <w:rPr>
          <w:sz w:val="20"/>
          <w:szCs w:val="20"/>
          <w:color w:val="auto"/>
        </w:rPr>
      </w:pPr>
    </w:p>
    <w:p>
      <w:pPr>
        <w:ind w:right="240" w:firstLine="509"/>
        <w:spacing w:after="0" w:line="242" w:lineRule="auto"/>
        <w:rPr>
          <w:sz w:val="20"/>
          <w:szCs w:val="20"/>
          <w:color w:val="auto"/>
        </w:rPr>
      </w:pPr>
      <w:r>
        <w:rPr>
          <w:rFonts w:ascii="Times New Roman" w:cs="Times New Roman" w:eastAsia="Times New Roman" w:hAnsi="Times New Roman"/>
          <w:sz w:val="18"/>
          <w:szCs w:val="18"/>
          <w:color w:val="auto"/>
        </w:rPr>
        <w:t>REGENXBIO Inc. (the Company) is a clinical-stage biotechnology company seeking to improve lives through the curative potential of gene therapy. The Company's investigational gene therapies use adeno-associated virus (AAV) vectors from its proprietary gene delivery platform (NAV Technology Platform). The NAV</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Technology Platform has consisted of exclusive rights to a large portfolio of proprietary AAV vectors. The Company has developed a broad pipeline of gene therapy product candidates using the NAV Technology Platform as a one-time treatment to address an array of diseases. The Company was formed in 2008 in the State of Delaware and is headquartered in Rockville, Maryland.</w:t>
      </w:r>
    </w:p>
    <w:p>
      <w:pPr>
        <w:spacing w:after="0" w:line="196"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The Company's lead product candidates include ABBV-RGX-314 (surabgene lomparvovec, sura-vec) for the treatment of wet age-related macular degeneration (wet AMD) and diabetic retinopathy (DR), which is being developed and commercialized in collaboration with AbbVie Global Enterprises Ltd. (AbbVie), a subsidiary of AbbVie Inc., and RGX-202 for the treatment of Duchenne muscular dystrophy. Additional clinical-stage candidates include RGX-121 (clemidsogene lanparvovec) for the treatment of Mucopolysaccharidosis Type II (MPS II) and RGX-111 for the treatment of Mucopolysaccharidosis Type I (MPS I), which are being developed and commercialized in collaboration with Nippon Shinyaku Co., Ltd. (Nippon Shinyaku).</w:t>
      </w:r>
    </w:p>
    <w:p>
      <w:pPr>
        <w:spacing w:after="0" w:line="187" w:lineRule="exact"/>
        <w:rPr>
          <w:sz w:val="20"/>
          <w:szCs w:val="20"/>
          <w:color w:val="auto"/>
        </w:rPr>
      </w:pPr>
    </w:p>
    <w:p>
      <w:pPr>
        <w:ind w:right="40" w:firstLine="509"/>
        <w:spacing w:after="0" w:line="242" w:lineRule="auto"/>
        <w:rPr>
          <w:sz w:val="20"/>
          <w:szCs w:val="20"/>
          <w:color w:val="auto"/>
        </w:rPr>
      </w:pPr>
      <w:r>
        <w:rPr>
          <w:rFonts w:ascii="Times New Roman" w:cs="Times New Roman" w:eastAsia="Times New Roman" w:hAnsi="Times New Roman"/>
          <w:sz w:val="18"/>
          <w:szCs w:val="18"/>
          <w:color w:val="auto"/>
        </w:rPr>
        <w:t>In addition to its internal product development efforts, the Company has also selectively licensed the NAV Technology Platform and other intellectual property rights to other leading biotechnology and pharmaceutical companies (NAV Technology Licensees). As of September 30, 2026, the NAV Technology Platform was being applied by NAV Technology Licensees in two commercial products, Zolgensma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Itvisma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and in the preclinical and clinical development of various other licensed products. Additionally, the Company has licensed intellectual property rights to collaborators for the joint development and commercialization of certain product candidates.</w:t>
      </w:r>
    </w:p>
    <w:p>
      <w:pPr>
        <w:spacing w:after="0" w:line="30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121"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The Company has incurred cumulative losses since inception and as of September 30, 2026, had generated an accumulated deficit of $1.23 billion. The Company's ability to transition to recurring profitability is dependent upon achieving a level of revenues adequate to support its cost structure, which depends heavily on the successful development, approval and commercialization of its product candidates. The Company may never achieve recurring profitability, and unless and until it does, will continue to need to raise additional capital through equity offerings, licensing and collaboration arrangements, or other non-dilutive financings. There is no assurance that the Company will be able to raise sufficient capital or obtain financing on favorable terms, or at all.</w:t>
      </w:r>
    </w:p>
    <w:p>
      <w:pPr>
        <w:spacing w:after="0" w:line="18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As of September 30, 2026, the Company had cash, cash equivalents and marketable securities of $251.0 million. In October 2026, the Company received a payment of $39.0 million pursuant to a settlement agreement with Sarepta Therapeutics, Inc. (Sarepta). Please refer to Note 8 for further information regarding the settlement agreement with Sarepta. Management believes the Company's cash, cash equivalents and marketable securities as of September 30, 2026, along with the settlement proceeds received in October 2026, are sufficient to fund operations into the late fourth quarter of 2027. This estimate is based on the Company's current operating plan and excludes the potential effects of any future financings or material milestone payments that may be received under the Company's licensing and collaboration arrangements. The Company has based this estimate on assumptions that may prove to be wrong, and it could exhaust its capital resources sooner than expected. These conditions raise substantial doubt about the Company's ability to continue as a going concern within 12 months from the date these consolidated financial statements were issued. The Company’s ability to continue as a going concern will depend heavily on the successful development, approval and commercialization of its product candidates and its ability to raise additional capital to fund its operations. If the Company is unable to raise capital sufficient to meet its working capital needs in the future, it may be forced to delay expenditures, reduce the scope of its development activities or make other changes to its operating plans.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12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are unaudited and have been prepared in conformity with accounting principles generally accepted in the United States of America (GAAP). The interim unaudited consolidated financial statements have been prepared on the same basis as the annual audited consolidated financial statements as of and for the year ended December 31, 2025 included in the Company’s Annual Report on Form 10-K for the year ended December 31, 2025, which was filed with the SEC on March 5, 2026. Certain information and footnote disclosures required by GAAP, which are normally included in the Company’s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1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annual consolidated financial statements, have been omitted pursuant to SEC rules and regulations for interim reporting. In the opinion of management, the accompanying consolidated financial statements reflect all adjustments, which are normal and recurring in nature, necessary for a fair statement of the results of operations for the periods presented.</w:t>
      </w:r>
    </w:p>
    <w:p>
      <w:pPr>
        <w:spacing w:after="0" w:line="176" w:lineRule="exact"/>
        <w:rPr>
          <w:sz w:val="20"/>
          <w:szCs w:val="20"/>
          <w:color w:val="auto"/>
        </w:rPr>
      </w:pPr>
    </w:p>
    <w:p>
      <w:pPr>
        <w:jc w:val="both"/>
        <w:ind w:right="160" w:firstLine="509"/>
        <w:spacing w:after="0" w:line="261" w:lineRule="auto"/>
        <w:rPr>
          <w:sz w:val="20"/>
          <w:szCs w:val="20"/>
          <w:color w:val="auto"/>
        </w:rPr>
      </w:pPr>
      <w:r>
        <w:rPr>
          <w:rFonts w:ascii="Times New Roman" w:cs="Times New Roman" w:eastAsia="Times New Roman" w:hAnsi="Times New Roman"/>
          <w:sz w:val="18"/>
          <w:szCs w:val="18"/>
          <w:color w:val="auto"/>
        </w:rPr>
        <w:t>The results of operations for the interim periods are not necessarily indicative of the results of operations to be expected for the full year, any other interim periods, or any future year or period. These interim consolidated financial statements should be read in conjunction with the audited consolidated financial statements as of and for the year ended December 31, 2025, and the notes thereto, which are included in the Company’s Annual Report on Form 10-K for the year ended December 31, 2025.</w:t>
      </w:r>
    </w:p>
    <w:p>
      <w:pPr>
        <w:spacing w:after="0" w:line="180"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the Company and its wholly owned subsidiaries. All intercompany balances and transactions have been eliminated in consolidation.</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GAAP requires management to make estimates and assumptions that affect the reported amounts of assets, liabilities, revenues and expenses and related disclosure of contingent assets and liabilities for the periods presented. Management bases its estimates on historical experience and various other factors that it believes are reasonable under the circumstances, the results of which form the basis for making judgments about the carrying value of assets and liabilities, and other reported amounts, that are not readily apparent from other sources. Actual results may differ materially from these estimates. Estimates are used in the following areas, among others: revenue recognition, the allowance for credit losses, accrued research and development expenses and other accrued liabilities, stock-based compensation expense, interest expense under royalty monetization liabilities, income taxes and fair value measurements.</w:t>
      </w:r>
    </w:p>
    <w:p>
      <w:pPr>
        <w:spacing w:after="0" w:line="2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Restricted cash consists of deposits held at financial institutions that are used to collateralize irrevocable letters of credit required under the Company’s lease agreements and certain other agreements with third parties. The following table provides a reconciliation of cash and cash equivalents and restricted cash as reported on the consolidated balance sheets to the total of these amounts as reported at the end of the period in the consolidated statements of cash flows (in thousands):</w:t>
      </w:r>
    </w:p>
    <w:p>
      <w:pPr>
        <w:spacing w:after="0" w:line="227"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5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As of September 30,</w:t>
            </w:r>
          </w:p>
        </w:tc>
        <w:tc>
          <w:tcPr>
            <w:tcW w:w="11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5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63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2"/>
                <w:szCs w:val="12"/>
                <w:color w:val="auto"/>
              </w:rPr>
            </w:pPr>
          </w:p>
        </w:tc>
      </w:tr>
      <w:tr>
        <w:trPr>
          <w:trHeight w:val="210"/>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80" w:type="dxa"/>
            <w:vAlign w:val="bottom"/>
            <w:gridSpan w:val="2"/>
            <w:shd w:val="clear" w:color="auto" w:fill="CFF0FC"/>
          </w:tcPr>
          <w:p>
            <w:pPr>
              <w:jc w:val="right"/>
              <w:ind w:right="908"/>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95,795</w:t>
            </w:r>
          </w:p>
        </w:tc>
        <w:tc>
          <w:tcPr>
            <w:tcW w:w="800" w:type="dxa"/>
            <w:vAlign w:val="bottom"/>
            <w:gridSpan w:val="2"/>
            <w:shd w:val="clear" w:color="auto" w:fill="CFF0FC"/>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58,802</w:t>
            </w:r>
          </w:p>
        </w:tc>
        <w:tc>
          <w:tcPr>
            <w:tcW w:w="80" w:type="dxa"/>
            <w:vAlign w:val="bottom"/>
            <w:shd w:val="clear" w:color="auto" w:fill="CFF0FC"/>
          </w:tcPr>
          <w:p>
            <w:pPr>
              <w:spacing w:after="0"/>
              <w:rPr>
                <w:sz w:val="18"/>
                <w:szCs w:val="18"/>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 current</w:t>
            </w:r>
          </w:p>
        </w:tc>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cash, non-current</w:t>
            </w:r>
          </w:p>
        </w:tc>
        <w:tc>
          <w:tcPr>
            <w:tcW w:w="2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1,805</w:t>
            </w:r>
          </w:p>
        </w:tc>
        <w:tc>
          <w:tcPr>
            <w:tcW w:w="22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2,030</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9"/>
        </w:trPr>
        <w:tc>
          <w:tcPr>
            <w:tcW w:w="5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cash and cash equivalents and restricted cash</w:t>
            </w:r>
          </w:p>
        </w:tc>
        <w:tc>
          <w:tcPr>
            <w:tcW w:w="1080" w:type="dxa"/>
            <w:vAlign w:val="bottom"/>
            <w:gridSpan w:val="2"/>
          </w:tcPr>
          <w:p>
            <w:pPr>
              <w:jc w:val="right"/>
              <w:ind w:right="908"/>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97,825</w:t>
            </w:r>
          </w:p>
        </w:tc>
        <w:tc>
          <w:tcPr>
            <w:tcW w:w="8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60,832</w:t>
            </w:r>
          </w:p>
        </w:tc>
        <w:tc>
          <w:tcPr>
            <w:tcW w:w="80" w:type="dxa"/>
            <w:vAlign w:val="bottom"/>
          </w:tcPr>
          <w:p>
            <w:pPr>
              <w:spacing w:after="0"/>
              <w:rPr>
                <w:sz w:val="18"/>
                <w:szCs w:val="18"/>
                <w:color w:val="auto"/>
              </w:rPr>
            </w:pPr>
          </w:p>
        </w:tc>
      </w:tr>
      <w:tr>
        <w:trPr>
          <w:trHeight w:val="20"/>
        </w:trPr>
        <w:tc>
          <w:tcPr>
            <w:tcW w:w="53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5165725</wp:posOffset>
            </wp:positionH>
            <wp:positionV relativeFrom="paragraph">
              <wp:posOffset>-170815</wp:posOffset>
            </wp:positionV>
            <wp:extent cx="5143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-170815</wp:posOffset>
            </wp:positionV>
            <wp:extent cx="5143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2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12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Accounts receivable consist of consideration due to the Company resulting from its agreements with customers. Accounts receivable include amounts invoiced to customers as well as rights to consideration which have not yet been invoiced, including unbilled royalties and services, and for which payment is conditional solely upon the passage of time. If a licensee elects to terminate a license prior to the end of the license term, the licensed intellectual property is returned to the Company and any accounts receivable from the licensee which are not contractually payable to the Company are charged off as a reduction of revenue in the period of the termination. Accounts receivable which are not expected to be received by the Company within 12 months from the reporting date are stated net of a discount to present value and recorded as non-current assets on the consolidated balance sheets. The present value discount is recognized as a reduction of revenue in the period in which the accounts receivable balance is initially recorded and is accreted as interest income from licensing over the term of the receivables.</w:t>
      </w:r>
    </w:p>
    <w:p>
      <w:pPr>
        <w:spacing w:after="0" w:line="192"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Accounts receivable are stated net of an allowance for credit losses, if deemed necessary based on the Company’s evaluation of collectability and potential credit losses. Management assesses the collectability of its accounts receivable using the specific identification of account balances and considers the credit quality and financial condition of its significant customers, historical information regarding credit losses and the Company’s evaluation of current and expected future economic conditions. If necessary, an allowance for credit losses is recorded against accounts receivable such that the carrying value of accounts receivable reflects the net amount expected to be collected. Accounts receivable balances are written off against the allowance for credit losses when the potential for collectability is considered remote. The Company did not record an allowance for credit losses on its accounts receivable as of September 30, 2026 and December 31, 2025.</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 xml:space="preserve">The Company is required to disclose information on all assets and liabilities reported at fair value that enables an assessment of the inputs used in determining the reported fair values. Accounting Standards Codification (ASC)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establishes a hierarchy of inputs used in measuring fair value that maximizes the use of observable inputs and minimizes the use of unobservable inputs by requiring that the observable inputs be used when available. Observable inputs are inputs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 or liability and are developed based on the best information available in the circumstances. The fair value hierarchy applies only to the valuation inputs used in determining the reported fair value of the investments and is not a measure of the investment credit quality. The three levels of the fair value hierarchy are described below:</w:t>
      </w:r>
    </w:p>
    <w:p>
      <w:pPr>
        <w:spacing w:after="0" w:line="84" w:lineRule="exact"/>
        <w:rPr>
          <w:sz w:val="20"/>
          <w:szCs w:val="20"/>
          <w:color w:val="auto"/>
        </w:rPr>
      </w:pPr>
    </w:p>
    <w:p>
      <w:pPr>
        <w:ind w:left="1020" w:right="6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1—Valuations based on unadjusted quoted prices in active markets for identical assets or liabilities that the Company has the ability to access at the measurement date.</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2—Valuations based on quoted prices for similar assets or liabilities in markets that are not active or for which all significant inputs are observable, either directly or indirectly.</w:t>
      </w:r>
    </w:p>
    <w:p>
      <w:pPr>
        <w:spacing w:after="0" w:line="53"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3—Valuations that require inputs that reflect the Company’s own assumptions that are both significant to the fair value measurement and unobservable.</w:t>
      </w:r>
    </w:p>
    <w:p>
      <w:pPr>
        <w:spacing w:after="0" w:line="162"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To the extent that valuation is based on models or inputs that are less observable or unobservable in the market, the determination of fair value requires more judgment. Accordingly, the degree of judgment exercised by the Company in determining fair value is greatest for assets and liabilities categorized in Level 3. The level within the fair value hierarchy of an asset or liability measured at fair value is based on the lowest level of any input that is significant to the fair value measurement. The fair values of the Company’s Level 2 financial instruments are based on quoted market prices or broker or dealer quotations for similar assets. These investments are initially valued at the transaction price and subsequently valued utilizing third-party pricing providers or other market observable data. Please refer to Note 4 for further information on the Company's fair value measurements.</w:t>
      </w: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12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Basic net loss per share is calculated by dividing net loss applicable to common stockholders by the weighted-average common shares outstanding during the period, without consideration for common stock equivalents. Diluted net loss per share is calculated by adjusting the weighted-average common shares outstanding for the dilutive effect of common stock equivalents outstanding for the period, determined using the treasury-stock method. For purposes of computing both basic and diluted net loss per share, pre-funded warrants are considered outstanding shares upon issuance because the underlying shares may be issued for nominal consideration and are exercisable after the original issuance date. Contingently convertible shares in which conversion is based on non-market-priced contingencies are excluded from the calculations of both basic and diluted net loss per share until the contingency has been fully met. For purposes of the diluted net loss per share calculation, common stock equivalents are excluded from the calculation of diluted net loss per share if their effect would be anti-dilutive.</w:t>
      </w:r>
    </w:p>
    <w:p>
      <w:pPr>
        <w:spacing w:after="0" w:line="2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Recently Adopted Accounting Pronouncements</w:t>
      </w:r>
    </w:p>
    <w:p>
      <w:pPr>
        <w:spacing w:after="0" w:line="119"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The Company did not adopt any new accounting standards during the three and nine months ended September 30, 2026 and 2025 which had a material impact on the consolidated financial statements.</w:t>
      </w:r>
    </w:p>
    <w:p>
      <w:pPr>
        <w:spacing w:after="0" w:line="2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Recent Accounting Pronouncements Not Yet Adopted</w:t>
      </w:r>
    </w:p>
    <w:p>
      <w:pPr>
        <w:spacing w:after="0" w:line="117"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 xml:space="preserve">In November 2024, the Financial Accounting Standards Board (FASB) issued Accounting Standards Update (ASU) 2024-03, </w:t>
      </w:r>
      <w:r>
        <w:rPr>
          <w:rFonts w:ascii="Times New Roman" w:cs="Times New Roman" w:eastAsia="Times New Roman" w:hAnsi="Times New Roman"/>
          <w:sz w:val="18"/>
          <w:szCs w:val="18"/>
          <w:i w:val="1"/>
          <w:iCs w:val="1"/>
          <w:color w:val="auto"/>
        </w:rPr>
        <w:t>Income Statement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Reporting Comprehensive Income – Expense Disaggregation Disclosures (Subtopic 220-40): Disaggregation of Income Statement Expenses</w:t>
      </w:r>
      <w:r>
        <w:rPr>
          <w:rFonts w:ascii="Times New Roman" w:cs="Times New Roman" w:eastAsia="Times New Roman" w:hAnsi="Times New Roman"/>
          <w:sz w:val="18"/>
          <w:szCs w:val="18"/>
          <w:color w:val="auto"/>
        </w:rPr>
        <w:t>. The new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standard requires disclosures about specific types of expenses included in the expense captions presented on the face of the income statement as well as disclosures about selling expenses. In January 2025, the FASB issued ASU 2025-01, which clarifies the effective date of ASU 2024-03 with respect to interim periods. The standard is effective for the Company for annual periods beginning January 1, 2027 and interim periods beginning January 1, 2028, with early adoption permitted. The standard may be applied either prospectively to financial statements issued for reporting periods after the effective date or retrospectively to any or all prior periods presented in the financial statements. The Company is currently in the process of evaluating the impact of this standard on its consolidated financial statements and related disclosures.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Marketable Securities</w:t>
      </w:r>
    </w:p>
    <w:p>
      <w:pPr>
        <w:spacing w:after="0" w:line="121" w:lineRule="exact"/>
        <w:rPr>
          <w:sz w:val="20"/>
          <w:szCs w:val="20"/>
          <w:color w:val="auto"/>
        </w:rPr>
      </w:pPr>
    </w:p>
    <w:p>
      <w:pPr>
        <w:ind w:right="56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tables present a summary of the Company’s marketable securities, which consist solely of available-for-sale debt securities (in thousands):</w:t>
      </w:r>
    </w:p>
    <w:p>
      <w:pPr>
        <w:spacing w:after="0" w:line="14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5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2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U.S. government and agency securities</w:t>
            </w: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103,152</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103,054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Corporate bonds</w:t>
            </w: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52,214</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(88)</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52,127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155,366</w:t>
            </w: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155,181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0"/>
        </w:trPr>
        <w:tc>
          <w:tcPr>
            <w:tcW w:w="5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5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U.S. government and agency securities</w:t>
            </w: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83,085</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83,144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Corporate bonds</w:t>
            </w: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123,131</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123,245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206,216</w:t>
            </w: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206,389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580" w:firstLine="509"/>
        <w:spacing w:after="0" w:line="266" w:lineRule="auto"/>
        <w:rPr>
          <w:sz w:val="20"/>
          <w:szCs w:val="20"/>
          <w:color w:val="auto"/>
        </w:rPr>
      </w:pPr>
      <w:r>
        <w:rPr>
          <w:rFonts w:ascii="Times New Roman" w:cs="Times New Roman" w:eastAsia="Times New Roman" w:hAnsi="Times New Roman"/>
          <w:sz w:val="18"/>
          <w:szCs w:val="18"/>
          <w:color w:val="auto"/>
        </w:rPr>
        <w:t>As of September 30, 2026, no available-for-sale debt securities had remaining maturities greater than one year. As of December 31, 2025, no available-for-sale debt securities had remaining maturities greater than two years. The amortized cost of marketable debt securities is adjusted for amortization of premiums and accretion of discounts to maturity, or to the earliest call date for callable debt securities purchased at a premium.</w:t>
      </w:r>
    </w:p>
    <w:p>
      <w:pPr>
        <w:spacing w:after="0" w:line="176"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As of September 30, 2026 and December 31, 2025, the balance in accumulated other comprehensive loss consisted solely of unrealized gains and losses on available-for-sale debt securities, net of reclassification adjustments for realized gains and losses and income tax effects. The Company uses the aggregate portfolio approach to release the tax effects of unrealized gains and losses on available-for-sale debt securities in accumulated other comprehensive loss. Realized gains and losses from the sale or maturity of marketable securities are based on the specific identification method and are included in results of operations as investment income. Unrealized gain (loss) on available-for-sale securities, net, presented in the statements of operations and comprehensive loss consisted of the following (in thousands):</w:t>
      </w:r>
    </w:p>
    <w:p>
      <w:pPr>
        <w:spacing w:after="0" w:line="181"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4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8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6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4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Borders>
              <w:top w:val="single" w:sz="8" w:color="auto"/>
              <w:bottom w:val="single" w:sz="8" w:color="auto"/>
            </w:tcBorders>
          </w:tcPr>
          <w:p>
            <w:pPr>
              <w:jc w:val="right"/>
              <w:ind w:right="64"/>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6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7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jc w:val="right"/>
              <w:ind w:right="457"/>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r>
      <w:tr>
        <w:trPr>
          <w:trHeight w:val="210"/>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Unrealized gain (loss) before reclassifications</w:t>
            </w:r>
          </w:p>
        </w:tc>
        <w:tc>
          <w:tcPr>
            <w:tcW w:w="1140" w:type="dxa"/>
            <w:vAlign w:val="bottom"/>
            <w:gridSpan w:val="2"/>
            <w:shd w:val="clear" w:color="auto" w:fill="CFF0FC"/>
          </w:tcPr>
          <w:p>
            <w:pPr>
              <w:jc w:val="right"/>
              <w:ind w:right="844"/>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(170)</w:t>
            </w:r>
          </w:p>
        </w:tc>
        <w:tc>
          <w:tcPr>
            <w:tcW w:w="880" w:type="dxa"/>
            <w:vAlign w:val="bottom"/>
            <w:gridSpan w:val="2"/>
            <w:shd w:val="clear" w:color="auto" w:fill="CFF0FC"/>
          </w:tcPr>
          <w:p>
            <w:pPr>
              <w:jc w:val="right"/>
              <w:ind w:right="639"/>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98</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(342)</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shd w:val="clear" w:color="auto" w:fill="CFF0FC"/>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Realized gains reclassified to investment income</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9"/>
        </w:trPr>
        <w:tc>
          <w:tcPr>
            <w:tcW w:w="4360" w:type="dxa"/>
            <w:vAlign w:val="bottom"/>
            <w:tcBorders>
              <w:top w:val="single" w:sz="8" w:color="CFF0FC"/>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Unrealized gain (loss) on available-for-sale securities, net</w:t>
            </w:r>
          </w:p>
        </w:tc>
        <w:tc>
          <w:tcPr>
            <w:tcW w:w="140" w:type="dxa"/>
            <w:vAlign w:val="bottom"/>
            <w:tcBorders>
              <w:top w:val="single" w:sz="8" w:color="CFF0FC"/>
              <w:bottom w:val="single" w:sz="8" w:color="CFF0FC"/>
            </w:tcBorders>
            <w:shd w:val="clear" w:color="auto" w:fill="CFF0FC"/>
          </w:tcPr>
          <w:p>
            <w:pPr>
              <w:spacing w:after="0"/>
              <w:rPr>
                <w:sz w:val="21"/>
                <w:szCs w:val="21"/>
                <w:color w:val="auto"/>
              </w:rPr>
            </w:pPr>
          </w:p>
        </w:tc>
        <w:tc>
          <w:tcPr>
            <w:tcW w:w="1000" w:type="dxa"/>
            <w:vAlign w:val="bottom"/>
            <w:tcBorders>
              <w:top w:val="single" w:sz="8" w:color="auto"/>
              <w:bottom w:val="single" w:sz="8" w:color="auto"/>
            </w:tcBorders>
            <w:shd w:val="clear" w:color="auto" w:fill="CFF0FC"/>
          </w:tcPr>
          <w:p>
            <w:pPr>
              <w:jc w:val="right"/>
              <w:ind w:right="844"/>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40" w:type="dxa"/>
            <w:vAlign w:val="bottom"/>
            <w:tcBorders>
              <w:top w:val="single" w:sz="8" w:color="CFF0FC"/>
              <w:bottom w:val="single" w:sz="8" w:color="CFF0FC"/>
            </w:tcBorders>
            <w:shd w:val="clear" w:color="auto" w:fill="CFF0FC"/>
          </w:tcPr>
          <w:p>
            <w:pPr>
              <w:spacing w:after="0"/>
              <w:rPr>
                <w:sz w:val="21"/>
                <w:szCs w:val="21"/>
                <w:color w:val="auto"/>
              </w:rPr>
            </w:pPr>
          </w:p>
        </w:tc>
        <w:tc>
          <w:tcPr>
            <w:tcW w:w="60" w:type="dxa"/>
            <w:vAlign w:val="bottom"/>
            <w:tcBorders>
              <w:top w:val="single" w:sz="8" w:color="CFF0FC"/>
              <w:bottom w:val="single" w:sz="8" w:color="CFF0FC"/>
            </w:tcBorders>
            <w:shd w:val="clear" w:color="auto" w:fill="CFF0FC"/>
          </w:tcPr>
          <w:p>
            <w:pPr>
              <w:spacing w:after="0"/>
              <w:rPr>
                <w:sz w:val="21"/>
                <w:szCs w:val="21"/>
                <w:color w:val="auto"/>
              </w:rPr>
            </w:pPr>
          </w:p>
        </w:tc>
        <w:tc>
          <w:tcPr>
            <w:tcW w:w="820" w:type="dxa"/>
            <w:vAlign w:val="bottom"/>
            <w:tcBorders>
              <w:top w:val="single" w:sz="8" w:color="auto"/>
              <w:bottom w:val="single" w:sz="8" w:color="auto"/>
            </w:tcBorders>
            <w:shd w:val="clear" w:color="auto" w:fill="CFF0FC"/>
          </w:tcPr>
          <w:p>
            <w:pPr>
              <w:jc w:val="right"/>
              <w:ind w:right="639"/>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98</w:t>
            </w:r>
          </w:p>
        </w:tc>
        <w:tc>
          <w:tcPr>
            <w:tcW w:w="200" w:type="dxa"/>
            <w:vAlign w:val="bottom"/>
            <w:tcBorders>
              <w:top w:val="single" w:sz="8" w:color="CFF0FC"/>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200" w:type="dxa"/>
            <w:vAlign w:val="bottom"/>
            <w:tcBorders>
              <w:top w:val="single" w:sz="8" w:color="CFF0FC"/>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tcBorders>
              <w:top w:val="single" w:sz="8" w:color="CFF0FC"/>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-24765</wp:posOffset>
            </wp:positionV>
            <wp:extent cx="5969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-7620</wp:posOffset>
            </wp:positionV>
            <wp:extent cx="5969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-170815</wp:posOffset>
            </wp:positionV>
            <wp:extent cx="5969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-24765</wp:posOffset>
            </wp:positionV>
            <wp:extent cx="6032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-7620</wp:posOffset>
            </wp:positionV>
            <wp:extent cx="6032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-170815</wp:posOffset>
            </wp:positionV>
            <wp:extent cx="6032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-24765</wp:posOffset>
            </wp:positionV>
            <wp:extent cx="6032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-7620</wp:posOffset>
            </wp:positionV>
            <wp:extent cx="6032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-170815</wp:posOffset>
            </wp:positionV>
            <wp:extent cx="6032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-24765</wp:posOffset>
            </wp:positionV>
            <wp:extent cx="685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-7620</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-170815</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fair values and unrealized losses of available-for-sale debt securities held by the Company in an unrealized loss position for less than 12 months and 12 months or greater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40" w:type="dxa"/>
            <w:vAlign w:val="bottom"/>
            <w:gridSpan w:val="5"/>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00" w:type="dxa"/>
            <w:vAlign w:val="bottom"/>
            <w:gridSpan w:val="4"/>
          </w:tcPr>
          <w:p>
            <w:pPr>
              <w:ind w:left="320"/>
              <w:spacing w:after="0"/>
              <w:rPr>
                <w:sz w:val="20"/>
                <w:szCs w:val="20"/>
                <w:color w:val="auto"/>
              </w:rPr>
            </w:pPr>
            <w:r>
              <w:rPr>
                <w:rFonts w:ascii="Times New Roman" w:cs="Times New Roman" w:eastAsia="Times New Roman" w:hAnsi="Times New Roman"/>
                <w:sz w:val="14"/>
                <w:szCs w:val="14"/>
                <w:b w:val="1"/>
                <w:bCs w:val="1"/>
                <w:color w:val="auto"/>
              </w:rPr>
              <w:t>12 Months or Greater</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9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vMerge w:val="restart"/>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center"/>
              <w:ind w:right="78"/>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center"/>
              <w:ind w:right="58"/>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2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vMerge w:val="restart"/>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center"/>
              <w:ind w:right="58"/>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0" w:type="dxa"/>
            <w:vAlign w:val="bottom"/>
          </w:tcPr>
          <w:p>
            <w:pPr>
              <w:spacing w:after="0"/>
              <w:rPr>
                <w:sz w:val="1"/>
                <w:szCs w:val="1"/>
                <w:color w:val="auto"/>
              </w:rPr>
            </w:pPr>
          </w:p>
        </w:tc>
      </w:tr>
      <w:tr>
        <w:trPr>
          <w:trHeight w:val="210"/>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12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U.S. government and agency securities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78,407</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78,407</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39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Corporate bonds</w:t>
            </w: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47,133</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(88)</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47,133</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0"/>
        </w:trPr>
        <w:tc>
          <w:tcPr>
            <w:tcW w:w="39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125,540</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(188)</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125,540</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40" w:type="dxa"/>
            <w:vAlign w:val="bottom"/>
            <w:gridSpan w:val="5"/>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gridSpan w:val="4"/>
          </w:tcPr>
          <w:p>
            <w:pPr>
              <w:ind w:left="320"/>
              <w:spacing w:after="0"/>
              <w:rPr>
                <w:sz w:val="20"/>
                <w:szCs w:val="20"/>
                <w:color w:val="auto"/>
              </w:rPr>
            </w:pPr>
            <w:r>
              <w:rPr>
                <w:rFonts w:ascii="Times New Roman" w:cs="Times New Roman" w:eastAsia="Times New Roman" w:hAnsi="Times New Roman"/>
                <w:sz w:val="14"/>
                <w:szCs w:val="14"/>
                <w:b w:val="1"/>
                <w:bCs w:val="1"/>
                <w:color w:val="auto"/>
              </w:rPr>
              <w:t>12 Months or Greater</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39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vMerge w:val="restart"/>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center"/>
              <w:ind w:right="78"/>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center"/>
              <w:ind w:right="58"/>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2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vMerge w:val="restart"/>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center"/>
              <w:ind w:right="58"/>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0" w:type="dxa"/>
            <w:vAlign w:val="bottom"/>
          </w:tcPr>
          <w:p>
            <w:pPr>
              <w:spacing w:after="0"/>
              <w:rPr>
                <w:sz w:val="1"/>
                <w:szCs w:val="1"/>
                <w:color w:val="auto"/>
              </w:rPr>
            </w:pPr>
          </w:p>
        </w:tc>
      </w:tr>
      <w:tr>
        <w:trPr>
          <w:trHeight w:val="209"/>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2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U.S. government and agency securities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4,676</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4,676</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9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Corporate bonds</w:t>
            </w: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32,289</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32,289</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0"/>
        </w:trPr>
        <w:tc>
          <w:tcPr>
            <w:tcW w:w="39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36,965</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36,965</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3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ind w:right="398"/>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9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-2099310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-2099310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-2099310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-2099310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-2099310</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-2099310</wp:posOffset>
            </wp:positionV>
            <wp:extent cx="7747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-1079500</wp:posOffset>
            </wp:positionV>
            <wp:extent cx="6858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-1079500</wp:posOffset>
            </wp:positionV>
            <wp:extent cx="685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-1079500</wp:posOffset>
            </wp:positionV>
            <wp:extent cx="6858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-1079500</wp:posOffset>
            </wp:positionV>
            <wp:extent cx="685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-1079500</wp:posOffset>
            </wp:positionV>
            <wp:extent cx="685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-1079500</wp:posOffset>
            </wp:positionV>
            <wp:extent cx="7747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3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As of September 30, 2026, available-for-sale debt securities held by the Company in an unrealized loss position consisted of 33 investment grade security positions. The Company has the intent and ability to hold such securities until recovery and, based on the credit quality of the issuers and low severity of each unrealized loss position relative to its amortized cost basis, the Company did not identify any credit losses associated with its available-for-sale debt securities. The Company did not record an allowance for credit losses on its available-for-sale debt securities as of September 30, 2026 or December 31, 2025, and no impairment or credit losses on available-for-sale debt securities were recorded during the three and nine months ended September 30, 2026 and 2025.</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Measurements</w:t>
      </w:r>
    </w:p>
    <w:p>
      <w:pPr>
        <w:spacing w:after="0" w:line="121"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Financial instruments reported at fair value on a recurring basis include cash equivalents and marketable securities. The following tables present the fair value of cash equivalents and marketable securities in accordance with the fair value hierarchy discussed in Note 2 (in thousands):</w:t>
      </w:r>
    </w:p>
    <w:p>
      <w:pPr>
        <w:spacing w:after="0" w:line="155"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5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9"/>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7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Cash equivalents:</w:t>
            </w: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Money market mutual funds</w:t>
            </w:r>
          </w:p>
        </w:tc>
        <w:tc>
          <w:tcPr>
            <w:tcW w:w="780" w:type="dxa"/>
            <w:vAlign w:val="bottom"/>
            <w:shd w:val="clear" w:color="auto" w:fill="CFF0FC"/>
          </w:tcPr>
          <w:p>
            <w:pPr>
              <w:jc w:val="right"/>
              <w:ind w:right="620"/>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65,972</w:t>
            </w:r>
          </w:p>
        </w:tc>
        <w:tc>
          <w:tcPr>
            <w:tcW w:w="1000" w:type="dxa"/>
            <w:vAlign w:val="bottom"/>
            <w:gridSpan w:val="2"/>
            <w:shd w:val="clear" w:color="auto" w:fill="CFF0FC"/>
          </w:tcPr>
          <w:p>
            <w:pPr>
              <w:jc w:val="right"/>
              <w:ind w:right="602"/>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65,972</w:t>
            </w:r>
          </w:p>
        </w:tc>
        <w:tc>
          <w:tcPr>
            <w:tcW w:w="120" w:type="dxa"/>
            <w:vAlign w:val="bottom"/>
            <w:shd w:val="clear" w:color="auto" w:fill="CFF0FC"/>
          </w:tcPr>
          <w:p>
            <w:pPr>
              <w:spacing w:after="0"/>
              <w:rPr>
                <w:sz w:val="18"/>
                <w:szCs w:val="18"/>
                <w:color w:val="auto"/>
              </w:rPr>
            </w:pPr>
          </w:p>
        </w:tc>
      </w:tr>
      <w:tr>
        <w:trPr>
          <w:trHeight w:val="216"/>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government and agency securities</w:t>
            </w:r>
          </w:p>
        </w:tc>
        <w:tc>
          <w:tcPr>
            <w:tcW w:w="7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4,978</w:t>
            </w:r>
          </w:p>
        </w:tc>
        <w:tc>
          <w:tcPr>
            <w:tcW w:w="22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4,978</w:t>
            </w:r>
          </w:p>
        </w:tc>
        <w:tc>
          <w:tcPr>
            <w:tcW w:w="120" w:type="dxa"/>
            <w:vAlign w:val="bottom"/>
          </w:tcPr>
          <w:p>
            <w:pPr>
              <w:spacing w:after="0"/>
              <w:rPr>
                <w:sz w:val="18"/>
                <w:szCs w:val="18"/>
                <w:color w:val="auto"/>
              </w:rPr>
            </w:pPr>
          </w:p>
        </w:tc>
      </w:tr>
      <w:tr>
        <w:trPr>
          <w:trHeight w:val="209"/>
        </w:trPr>
        <w:tc>
          <w:tcPr>
            <w:tcW w:w="52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cash equivalents</w:t>
            </w: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70,950</w:t>
            </w: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70,950</w:t>
            </w:r>
          </w:p>
        </w:tc>
        <w:tc>
          <w:tcPr>
            <w:tcW w:w="120" w:type="dxa"/>
            <w:vAlign w:val="bottom"/>
            <w:shd w:val="clear" w:color="auto" w:fill="CFF0FC"/>
          </w:tcPr>
          <w:p>
            <w:pPr>
              <w:spacing w:after="0"/>
              <w:rPr>
                <w:sz w:val="18"/>
                <w:szCs w:val="18"/>
                <w:color w:val="auto"/>
              </w:rPr>
            </w:pPr>
          </w:p>
        </w:tc>
      </w:tr>
      <w:tr>
        <w:trPr>
          <w:trHeight w:val="216"/>
        </w:trPr>
        <w:tc>
          <w:tcPr>
            <w:tcW w:w="5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Marketable securities:</w:t>
            </w: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U.S. government and agency securities</w:t>
            </w: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103,054</w:t>
            </w: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103,054</w:t>
            </w:r>
          </w:p>
        </w:tc>
        <w:tc>
          <w:tcPr>
            <w:tcW w:w="120" w:type="dxa"/>
            <w:vAlign w:val="bottom"/>
            <w:shd w:val="clear" w:color="auto" w:fill="CFF0FC"/>
          </w:tcPr>
          <w:p>
            <w:pPr>
              <w:spacing w:after="0"/>
              <w:rPr>
                <w:sz w:val="18"/>
                <w:szCs w:val="18"/>
                <w:color w:val="auto"/>
              </w:rPr>
            </w:pPr>
          </w:p>
        </w:tc>
      </w:tr>
      <w:tr>
        <w:trPr>
          <w:trHeight w:val="216"/>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7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52,127</w:t>
            </w:r>
          </w:p>
        </w:tc>
        <w:tc>
          <w:tcPr>
            <w:tcW w:w="22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52,127</w:t>
            </w:r>
          </w:p>
        </w:tc>
        <w:tc>
          <w:tcPr>
            <w:tcW w:w="120" w:type="dxa"/>
            <w:vAlign w:val="bottom"/>
          </w:tcPr>
          <w:p>
            <w:pPr>
              <w:spacing w:after="0"/>
              <w:rPr>
                <w:sz w:val="18"/>
                <w:szCs w:val="18"/>
                <w:color w:val="auto"/>
              </w:rPr>
            </w:pPr>
          </w:p>
        </w:tc>
      </w:tr>
      <w:tr>
        <w:trPr>
          <w:trHeight w:val="209"/>
        </w:trPr>
        <w:tc>
          <w:tcPr>
            <w:tcW w:w="522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78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155,181</w:t>
            </w:r>
          </w:p>
        </w:tc>
        <w:tc>
          <w:tcPr>
            <w:tcW w:w="22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155,181</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5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cash equivalents and marketable securities</w:t>
            </w:r>
          </w:p>
        </w:tc>
        <w:tc>
          <w:tcPr>
            <w:tcW w:w="780" w:type="dxa"/>
            <w:vAlign w:val="bottom"/>
            <w:tcBorders>
              <w:bottom w:val="single" w:sz="8" w:color="auto"/>
            </w:tcBorders>
          </w:tcPr>
          <w:p>
            <w:pPr>
              <w:jc w:val="right"/>
              <w:ind w:right="620"/>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226,131</w:t>
            </w:r>
          </w:p>
        </w:tc>
        <w:tc>
          <w:tcPr>
            <w:tcW w:w="220" w:type="dxa"/>
            <w:vAlign w:val="bottom"/>
          </w:tcPr>
          <w:p>
            <w:pPr>
              <w:spacing w:after="0"/>
              <w:rPr>
                <w:sz w:val="18"/>
                <w:szCs w:val="18"/>
                <w:color w:val="auto"/>
              </w:rPr>
            </w:pPr>
          </w:p>
        </w:tc>
        <w:tc>
          <w:tcPr>
            <w:tcW w:w="78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226,131</w:t>
            </w:r>
          </w:p>
        </w:tc>
        <w:tc>
          <w:tcPr>
            <w:tcW w:w="120" w:type="dxa"/>
            <w:vAlign w:val="bottom"/>
          </w:tcPr>
          <w:p>
            <w:pPr>
              <w:spacing w:after="0"/>
              <w:rPr>
                <w:sz w:val="18"/>
                <w:szCs w:val="18"/>
                <w:color w:val="auto"/>
              </w:rPr>
            </w:pPr>
          </w:p>
        </w:tc>
      </w:tr>
      <w:tr>
        <w:trPr>
          <w:trHeight w:val="20"/>
        </w:trPr>
        <w:tc>
          <w:tcPr>
            <w:tcW w:w="5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45"/>
        </w:trPr>
        <w:tc>
          <w:tcPr>
            <w:tcW w:w="5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7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Cash equivalents:</w:t>
            </w: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Money market mutual funds</w:t>
            </w:r>
          </w:p>
        </w:tc>
        <w:tc>
          <w:tcPr>
            <w:tcW w:w="780" w:type="dxa"/>
            <w:vAlign w:val="bottom"/>
            <w:shd w:val="clear" w:color="auto" w:fill="CFF0FC"/>
          </w:tcPr>
          <w:p>
            <w:pPr>
              <w:jc w:val="right"/>
              <w:ind w:right="620"/>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21,418</w:t>
            </w:r>
          </w:p>
        </w:tc>
        <w:tc>
          <w:tcPr>
            <w:tcW w:w="1000" w:type="dxa"/>
            <w:vAlign w:val="bottom"/>
            <w:gridSpan w:val="2"/>
            <w:shd w:val="clear" w:color="auto" w:fill="CFF0FC"/>
          </w:tcPr>
          <w:p>
            <w:pPr>
              <w:jc w:val="right"/>
              <w:ind w:right="602"/>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21,418</w:t>
            </w:r>
          </w:p>
        </w:tc>
        <w:tc>
          <w:tcPr>
            <w:tcW w:w="120" w:type="dxa"/>
            <w:vAlign w:val="bottom"/>
            <w:shd w:val="clear" w:color="auto" w:fill="CFF0FC"/>
          </w:tcPr>
          <w:p>
            <w:pPr>
              <w:spacing w:after="0"/>
              <w:rPr>
                <w:sz w:val="18"/>
                <w:szCs w:val="18"/>
                <w:color w:val="auto"/>
              </w:rPr>
            </w:pPr>
          </w:p>
        </w:tc>
      </w:tr>
      <w:tr>
        <w:trPr>
          <w:trHeight w:val="216"/>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government and agency securities</w:t>
            </w:r>
          </w:p>
        </w:tc>
        <w:tc>
          <w:tcPr>
            <w:tcW w:w="7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2,496</w:t>
            </w:r>
          </w:p>
        </w:tc>
        <w:tc>
          <w:tcPr>
            <w:tcW w:w="22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2,496</w:t>
            </w:r>
          </w:p>
        </w:tc>
        <w:tc>
          <w:tcPr>
            <w:tcW w:w="120" w:type="dxa"/>
            <w:vAlign w:val="bottom"/>
          </w:tcPr>
          <w:p>
            <w:pPr>
              <w:spacing w:after="0"/>
              <w:rPr>
                <w:sz w:val="18"/>
                <w:szCs w:val="18"/>
                <w:color w:val="auto"/>
              </w:rPr>
            </w:pPr>
          </w:p>
        </w:tc>
      </w:tr>
      <w:tr>
        <w:trPr>
          <w:trHeight w:val="210"/>
        </w:trPr>
        <w:tc>
          <w:tcPr>
            <w:tcW w:w="52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cash equivalents</w:t>
            </w: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23,914</w:t>
            </w: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23,914</w:t>
            </w:r>
          </w:p>
        </w:tc>
        <w:tc>
          <w:tcPr>
            <w:tcW w:w="120" w:type="dxa"/>
            <w:vAlign w:val="bottom"/>
            <w:shd w:val="clear" w:color="auto" w:fill="CFF0FC"/>
          </w:tcPr>
          <w:p>
            <w:pPr>
              <w:spacing w:after="0"/>
              <w:rPr>
                <w:sz w:val="18"/>
                <w:szCs w:val="18"/>
                <w:color w:val="auto"/>
              </w:rPr>
            </w:pPr>
          </w:p>
        </w:tc>
      </w:tr>
      <w:tr>
        <w:trPr>
          <w:trHeight w:val="216"/>
        </w:trPr>
        <w:tc>
          <w:tcPr>
            <w:tcW w:w="5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Marketable securities:</w:t>
            </w: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U.S. government and agency securities</w:t>
            </w: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83,144</w:t>
            </w: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83,144</w:t>
            </w:r>
          </w:p>
        </w:tc>
        <w:tc>
          <w:tcPr>
            <w:tcW w:w="120" w:type="dxa"/>
            <w:vAlign w:val="bottom"/>
            <w:shd w:val="clear" w:color="auto" w:fill="CFF0FC"/>
          </w:tcPr>
          <w:p>
            <w:pPr>
              <w:spacing w:after="0"/>
              <w:rPr>
                <w:sz w:val="18"/>
                <w:szCs w:val="18"/>
                <w:color w:val="auto"/>
              </w:rPr>
            </w:pPr>
          </w:p>
        </w:tc>
      </w:tr>
      <w:tr>
        <w:trPr>
          <w:trHeight w:val="216"/>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7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123,245</w:t>
            </w:r>
          </w:p>
        </w:tc>
        <w:tc>
          <w:tcPr>
            <w:tcW w:w="22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123,245</w:t>
            </w:r>
          </w:p>
        </w:tc>
        <w:tc>
          <w:tcPr>
            <w:tcW w:w="120" w:type="dxa"/>
            <w:vAlign w:val="bottom"/>
          </w:tcPr>
          <w:p>
            <w:pPr>
              <w:spacing w:after="0"/>
              <w:rPr>
                <w:sz w:val="18"/>
                <w:szCs w:val="18"/>
                <w:color w:val="auto"/>
              </w:rPr>
            </w:pPr>
          </w:p>
        </w:tc>
      </w:tr>
      <w:tr>
        <w:trPr>
          <w:trHeight w:val="210"/>
        </w:trPr>
        <w:tc>
          <w:tcPr>
            <w:tcW w:w="522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78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206,389</w:t>
            </w:r>
          </w:p>
        </w:tc>
        <w:tc>
          <w:tcPr>
            <w:tcW w:w="22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206,389</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5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cash equivalents and marketable securities</w:t>
            </w:r>
          </w:p>
        </w:tc>
        <w:tc>
          <w:tcPr>
            <w:tcW w:w="780" w:type="dxa"/>
            <w:vAlign w:val="bottom"/>
          </w:tcPr>
          <w:p>
            <w:pPr>
              <w:jc w:val="right"/>
              <w:ind w:right="620"/>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230,303</w:t>
            </w:r>
          </w:p>
        </w:tc>
        <w:tc>
          <w:tcPr>
            <w:tcW w:w="1000" w:type="dxa"/>
            <w:vAlign w:val="bottom"/>
            <w:gridSpan w:val="2"/>
          </w:tcPr>
          <w:p>
            <w:pPr>
              <w:jc w:val="right"/>
              <w:ind w:right="602"/>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230,303</w:t>
            </w:r>
          </w:p>
        </w:tc>
        <w:tc>
          <w:tcPr>
            <w:tcW w:w="120" w:type="dxa"/>
            <w:vAlign w:val="bottom"/>
          </w:tcPr>
          <w:p>
            <w:pPr>
              <w:spacing w:after="0"/>
              <w:rPr>
                <w:sz w:val="18"/>
                <w:szCs w:val="18"/>
                <w:color w:val="auto"/>
              </w:rPr>
            </w:pPr>
          </w:p>
        </w:tc>
      </w:tr>
      <w:tr>
        <w:trPr>
          <w:trHeight w:val="20"/>
        </w:trPr>
        <w:tc>
          <w:tcPr>
            <w:tcW w:w="5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-1833880</wp:posOffset>
            </wp:positionV>
            <wp:extent cx="6032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-1833880</wp:posOffset>
            </wp:positionV>
            <wp:extent cx="6032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-1833880</wp:posOffset>
            </wp:positionV>
            <wp:extent cx="6032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-1833880</wp:posOffset>
            </wp:positionV>
            <wp:extent cx="685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-170815</wp:posOffset>
            </wp:positionV>
            <wp:extent cx="6032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-170815</wp:posOffset>
            </wp:positionV>
            <wp:extent cx="6032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-170815</wp:posOffset>
            </wp:positionV>
            <wp:extent cx="6032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-170815</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Management estimates that the carrying values of its current accounts receivable, other current assets, accounts payable, accrued expenses and other current liabilities approximate fair value due to the short-term nature of those instruments. Certain non-current accounts receivable are recorded at their present values using a discount rate that is based on prevailing market rates on the date the amounts were initially recorded. Management does not believe there have been any significant changes in market conditions or credit quality that would cause the discount rates initially used to be materially different from those that would be used as of September 30, 2026 to determine the present value of these instruments. Accordingly, management estimates that the carrying values of its non-current accounts receivable approximate the fair value of those instruments. Management estimates that the carrying values of its royalty monetization liabilities approximate fair value. As discussed in Note 7, the carrying values of royalty monetization liabilities are based on the Company’s estimate of future royalties, milestones and other consideration to be paid over the life of the arrangement, which are considered Level 3 inputs, as well as any remaining repayment obligations upon maturity of the instruments.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Property and Equipment, Net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Property and equipment, net consists of the following (in thousands):</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4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80" w:type="dxa"/>
            <w:vAlign w:val="bottom"/>
          </w:tcPr>
          <w:p>
            <w:pPr>
              <w:spacing w:after="0"/>
              <w:rPr>
                <w:sz w:val="15"/>
                <w:szCs w:val="15"/>
                <w:color w:val="auto"/>
              </w:rPr>
            </w:pPr>
          </w:p>
        </w:tc>
      </w:tr>
      <w:tr>
        <w:trPr>
          <w:trHeight w:val="209"/>
        </w:trPr>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Laboratory and manufacturing equipment</w:t>
            </w:r>
          </w:p>
        </w:tc>
        <w:tc>
          <w:tcPr>
            <w:tcW w:w="1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79,728</w:t>
            </w:r>
          </w:p>
        </w:tc>
        <w:tc>
          <w:tcPr>
            <w:tcW w:w="14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78,825</w:t>
            </w:r>
          </w:p>
        </w:tc>
        <w:tc>
          <w:tcPr>
            <w:tcW w:w="80" w:type="dxa"/>
            <w:vAlign w:val="bottom"/>
            <w:shd w:val="clear" w:color="auto" w:fill="CFF0FC"/>
          </w:tcPr>
          <w:p>
            <w:pPr>
              <w:spacing w:after="0"/>
              <w:rPr>
                <w:sz w:val="18"/>
                <w:szCs w:val="18"/>
                <w:color w:val="auto"/>
              </w:rPr>
            </w:pP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4,573</w:t>
            </w:r>
          </w:p>
        </w:tc>
        <w:tc>
          <w:tcPr>
            <w:tcW w:w="80" w:type="dxa"/>
            <w:vAlign w:val="bottom"/>
          </w:tcPr>
          <w:p>
            <w:pPr>
              <w:spacing w:after="0"/>
              <w:rPr>
                <w:sz w:val="18"/>
                <w:szCs w:val="18"/>
                <w:color w:val="auto"/>
              </w:rPr>
            </w:pPr>
          </w:p>
        </w:tc>
      </w:tr>
      <w:tr>
        <w:trPr>
          <w:trHeight w:val="216"/>
        </w:trPr>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0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7,059</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7,039</w:t>
            </w:r>
          </w:p>
        </w:tc>
        <w:tc>
          <w:tcPr>
            <w:tcW w:w="80" w:type="dxa"/>
            <w:vAlign w:val="bottom"/>
            <w:shd w:val="clear" w:color="auto" w:fill="CFF0FC"/>
          </w:tcPr>
          <w:p>
            <w:pPr>
              <w:spacing w:after="0"/>
              <w:rPr>
                <w:sz w:val="18"/>
                <w:szCs w:val="18"/>
                <w:color w:val="auto"/>
              </w:rPr>
            </w:pP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0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101,739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101,610</w:t>
            </w:r>
          </w:p>
        </w:tc>
        <w:tc>
          <w:tcPr>
            <w:tcW w:w="80" w:type="dxa"/>
            <w:vAlign w:val="bottom"/>
          </w:tcPr>
          <w:p>
            <w:pPr>
              <w:spacing w:after="0"/>
              <w:rPr>
                <w:sz w:val="18"/>
                <w:szCs w:val="18"/>
                <w:color w:val="auto"/>
              </w:rPr>
            </w:pPr>
          </w:p>
        </w:tc>
      </w:tr>
      <w:tr>
        <w:trPr>
          <w:trHeight w:val="209"/>
        </w:trPr>
        <w:tc>
          <w:tcPr>
            <w:tcW w:w="42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10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192,333</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192,047</w:t>
            </w:r>
          </w:p>
        </w:tc>
        <w:tc>
          <w:tcPr>
            <w:tcW w:w="80" w:type="dxa"/>
            <w:vAlign w:val="bottom"/>
            <w:shd w:val="clear" w:color="auto" w:fill="CFF0FC"/>
          </w:tcPr>
          <w:p>
            <w:pPr>
              <w:spacing w:after="0"/>
              <w:rPr>
                <w:sz w:val="18"/>
                <w:szCs w:val="18"/>
                <w:color w:val="auto"/>
              </w:rPr>
            </w:pP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(96,986)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(87,192)</w:t>
            </w:r>
          </w:p>
        </w:tc>
      </w:tr>
      <w:tr>
        <w:trPr>
          <w:trHeight w:val="20"/>
        </w:trPr>
        <w:tc>
          <w:tcPr>
            <w:tcW w:w="4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9"/>
        </w:trPr>
        <w:tc>
          <w:tcPr>
            <w:tcW w:w="42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95,347</w:t>
            </w:r>
          </w:p>
        </w:tc>
        <w:tc>
          <w:tcPr>
            <w:tcW w:w="14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104,855</w:t>
            </w:r>
          </w:p>
        </w:tc>
        <w:tc>
          <w:tcPr>
            <w:tcW w:w="80" w:type="dxa"/>
            <w:vAlign w:val="bottom"/>
            <w:shd w:val="clear" w:color="auto" w:fill="CFF0FC"/>
          </w:tcPr>
          <w:p>
            <w:pPr>
              <w:spacing w:after="0"/>
              <w:rPr>
                <w:sz w:val="19"/>
                <w:szCs w:val="19"/>
                <w:color w:val="auto"/>
              </w:rPr>
            </w:pPr>
          </w:p>
        </w:tc>
      </w:tr>
      <w:tr>
        <w:trPr>
          <w:trHeight w:val="20"/>
        </w:trPr>
        <w:tc>
          <w:tcPr>
            <w:tcW w:w="424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5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-25400</wp:posOffset>
            </wp:positionV>
            <wp:extent cx="5143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-8255</wp:posOffset>
            </wp:positionV>
            <wp:extent cx="5143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-25400</wp:posOffset>
            </wp:positionV>
            <wp:extent cx="5143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-8255</wp:posOffset>
            </wp:positionV>
            <wp:extent cx="5143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Leases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New York Lease and Sublease</w:t>
      </w:r>
    </w:p>
    <w:p>
      <w:pPr>
        <w:spacing w:after="0" w:line="121"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In May 2016, the Company entered into an operating lease for office space in New York, New York (the New York Lease), which has since been amended to include additional office space and extend the term of the lease. The lease term commenced in July 2016 and expires in April 2027.</w:t>
      </w:r>
    </w:p>
    <w:p>
      <w:pPr>
        <w:spacing w:after="0" w:line="162"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In March 2024, the Company entered into an agreement to sublease its office space under the New York Lease (the New York Sublease) to a third-party subtenant. The sublease term commenced in April 2024 and expires in April 2027 concurrent with the expiration of the New York Lease. Monthly payments under the New York Sublease commenced in July 2024 and escalate annually in accordance with the sublease agreement. As of September 30, 2026, total undiscounted future minimum lease payments to be received by the Company over the remaining term of the New York Sublease were $0.3 million. The Company recognized sublease income under the New York Sublease of $0.1 million and $0.3 million during the three and nine months ended September 30, 2026, respectively, and $0.1 million and $0.3 million during the three and nine months ended September 30, 2025, respectively.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Royalty Monetization Liabilities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Royalty monetization liabilities are accounted for as debt and consist of the following (in thousands):</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4"/>
              </w:rPr>
              <w:t>2020</w:t>
            </w:r>
          </w:p>
        </w:tc>
        <w:tc>
          <w:tcPr>
            <w:tcW w:w="4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Royalty Purchase Agreement</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9,416</w:t>
            </w: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29,672</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w w:val="94"/>
              </w:rPr>
              <w:t>2025</w:t>
            </w:r>
          </w:p>
        </w:tc>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Royalty Bond</w:t>
            </w:r>
          </w:p>
        </w:tc>
        <w:tc>
          <w:tcPr>
            <w:tcW w:w="7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176,262</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157,345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58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185,678</w:t>
            </w: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187,017</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580" w:type="dxa"/>
            <w:vAlign w:val="bottom"/>
            <w:tcBorders>
              <w:top w:val="single" w:sz="8" w:color="CFF0FC"/>
            </w:tcBorders>
            <w:gridSpan w:val="2"/>
          </w:tcPr>
          <w:p>
            <w:pPr>
              <w:spacing w:after="0"/>
              <w:rPr>
                <w:sz w:val="17"/>
                <w:szCs w:val="17"/>
                <w:color w:val="auto"/>
              </w:rPr>
            </w:pPr>
          </w:p>
        </w:tc>
        <w:tc>
          <w:tcPr>
            <w:tcW w:w="70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portion of royalty monetization liabilities</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12,114</w:t>
            </w: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39,609</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Non-current portion of royalty monetization liabilities</w:t>
            </w:r>
          </w:p>
        </w:tc>
        <w:tc>
          <w:tcPr>
            <w:tcW w:w="7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173,564</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147,408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8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w:t>
            </w:r>
          </w:p>
        </w:tc>
        <w:tc>
          <w:tcPr>
            <w:tcW w:w="7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185,678</w:t>
            </w: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187,017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422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5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5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5165725</wp:posOffset>
            </wp:positionH>
            <wp:positionV relativeFrom="paragraph">
              <wp:posOffset>-607695</wp:posOffset>
            </wp:positionV>
            <wp:extent cx="5143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-590550</wp:posOffset>
            </wp:positionV>
            <wp:extent cx="5143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-607695</wp:posOffset>
            </wp:positionV>
            <wp:extent cx="5143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-590550</wp:posOffset>
            </wp:positionV>
            <wp:extent cx="5143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-24765</wp:posOffset>
            </wp:positionV>
            <wp:extent cx="5143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-7620</wp:posOffset>
            </wp:positionV>
            <wp:extent cx="5143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0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2020 Royalty Purchase Agreement</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December 2020, the Company entered into a royalty purchase agreement (the 2020 Royalty Purchase Agreement) with entities managed by Healthcare Royalty Management, LLC (collectively and with other affiliated entities, HCR). Under the 2020 Royalty Purchase Agreement, HCR purchased the Company’s rights to a capped amount of Zolgensma and Itvisma royalty payments under the Company’s license agreement with Novartis Innovative Technologies Inc. (the Novartis License), including $4.0 million of royalty payments received by the Company in the fourth quarter of 2020. In consideration for these rights, HCR paid the Company $200.0 million (the Purchase Price), less $4.0 million representing the payment of the royalties received in the fourth quarter of 2020 to HCR. Beginning upon the effective date of the 2020 Royalty Purchase Agreement, Zolgensma and Itvisma royalty payments, up to a specified threshold, shall be paid to HCR, net of upstream royalties payable by the Company to certain licensors in accordance with existing license agreements.</w:t>
      </w:r>
    </w:p>
    <w:p>
      <w:pPr>
        <w:spacing w:after="0" w:line="192" w:lineRule="exact"/>
        <w:rPr>
          <w:sz w:val="20"/>
          <w:szCs w:val="20"/>
          <w:color w:val="auto"/>
        </w:rPr>
      </w:pPr>
    </w:p>
    <w:p>
      <w:pPr>
        <w:jc w:val="both"/>
        <w:ind w:right="140" w:firstLine="509"/>
        <w:spacing w:after="0" w:line="261" w:lineRule="auto"/>
        <w:rPr>
          <w:sz w:val="20"/>
          <w:szCs w:val="20"/>
          <w:color w:val="auto"/>
        </w:rPr>
      </w:pPr>
      <w:r>
        <w:rPr>
          <w:rFonts w:ascii="Times New Roman" w:cs="Times New Roman" w:eastAsia="Times New Roman" w:hAnsi="Times New Roman"/>
          <w:sz w:val="18"/>
          <w:szCs w:val="18"/>
          <w:color w:val="auto"/>
        </w:rPr>
        <w:t>Pursuant to the 2020 Royalty Purchase Agreement, the total amount of Zolgensma and Itvisma royalty payments to be paid to HCR was subject to an increasing cap (the Cap Amount) equal to (i) $260.0 million applicable for the period from the effective date of the 2020 Royalty Purchase Agreement through November 7, 2024 (the First Cap Amount), and (ii) $300.0 million applicable for the period from November 8, 2024 through the effective date of termination of the Novartis License (the Second Cap Amount). If, on or</w:t>
      </w:r>
    </w:p>
    <w:p>
      <w:pPr>
        <w:sectPr>
          <w:pgSz w:w="11900" w:h="16838" w:orient="portrait"/>
          <w:cols w:equalWidth="0" w:num="1">
            <w:col w:w="11220"/>
          </w:cols>
          <w:pgMar w:left="320" w:top="769" w:right="359" w:bottom="1440" w:gutter="0" w:footer="0" w:header="0"/>
        </w:sectPr>
      </w:pP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2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prior to the defined dates for each Cap Amount, the total amount of royalties paid to HCR equals or exceeds the Cap Amount applicable to such date, the 2020 Royalty Purchase Agreement would automatically terminate. The First Cap Amount was not achieved prior to November 7, 2024, therefore the 2020 Royalty Purchase Agreement will remain in effect until the achievement of the Second Cap Amount or the termination of the Novartis License, if earlier. The Company has no obligation to repay any amounts to HCR under the 2020 Royalty Purchase Agreement if future Zolgensma and Itvisma royalty payments are not sufficient to achieve the Second Cap Amount prior to the termination of the Novartis License.</w:t>
      </w:r>
    </w:p>
    <w:p>
      <w:pPr>
        <w:spacing w:after="0" w:line="183"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The Company has a call option to repurchase its rights to the royalties under the 2020 Royalty Purchase Agreement for a repurchase price equal to, as of the option exercise date, $300.0 million minus the total amount of royalty payments paid to HCR.</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proceeds received from HCR under the 2020 Royalty Purchase Agreement of $196.0 million were recorded as a liability, net of transaction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costs of $3.5 million, which is amortized over the estimated life of the arrangement using the effective interest method. In order to determine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of the liability, the Company is required to estimate the total amount of future royalty payments to be paid to HCR, subject to the applicable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 Amount, over the life of the arrangement. The total amount of royalty payments paid to HCR, less the net proceeds received by the Company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$192.5 million, is recorded as interest expense over the life of the arrangement using the effective interest method. Due to its continuing involvement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Novartis License, the Company continues to recognize royalty revenue on net sales of Zolgensma and Itvisma and records the royalty payments to HCR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reduction of the liability when paid. As such payments are made to HCR, the balance of the liability will be effectively repaid over the life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arrangement.</w:t>
      </w:r>
    </w:p>
    <w:p>
      <w:pPr>
        <w:spacing w:after="0" w:line="207"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The Company estimates the effective interest rate used to record interest expense under the 2020 Royalty Purchase Agreement based on its estimate of total Zolgensma and Itvisma royalties to be paid to HCR under the arrangement. At each reporting date, the Company reassesses its estimate of total future royalty payments to be paid to HCR at the applicable Cap Amount and prospectively adjusts the effective interest rate and amortization of the liability as necessary. Over the life of the arrangement, the actual effective interest rate will be affected by the amount and timing of royalty payments actually paid to HCR, which may differ from the Company’s forecasts. The estimated effective interest rate as of September 30, 2026 and December 31, 2025 was 38.3% and 85.2%, respectively, which was based on the amortized balance of the liability and the estimated remaining royalties to be paid to HCR under the arrangement. The estimated interest rate is subject to adjustments in the future based on actual royalties paid to HCR and changes in the royalty forecast. As of September 30, 2026, the estimated effective interest rate over the life of the 2020 Royalty Purchase Agreement, taking into account actual royalties paid to date and the estimated remaining royalties to be paid under the arrangement, was 16.2%.</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the changes in the royalty monetization liability under the 2020 Royalty Purchase Agreement with HCR (in thousands):</w:t>
      </w:r>
    </w:p>
    <w:p>
      <w:pPr>
        <w:spacing w:after="0" w:line="20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6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2020 Royalty</w:t>
            </w:r>
          </w:p>
        </w:tc>
      </w:tr>
      <w:tr>
        <w:trPr>
          <w:trHeight w:val="173"/>
        </w:trPr>
        <w:tc>
          <w:tcPr>
            <w:tcW w:w="20" w:type="dxa"/>
            <w:vAlign w:val="bottom"/>
          </w:tcPr>
          <w:p>
            <w:pPr>
              <w:spacing w:after="0"/>
              <w:rPr>
                <w:sz w:val="15"/>
                <w:szCs w:val="15"/>
                <w:color w:val="auto"/>
              </w:rPr>
            </w:pPr>
          </w:p>
        </w:tc>
        <w:tc>
          <w:tcPr>
            <w:tcW w:w="7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Purchase Agreement</w:t>
            </w:r>
          </w:p>
        </w:tc>
        <w:tc>
          <w:tcPr>
            <w:tcW w:w="80" w:type="dxa"/>
            <w:vAlign w:val="bottom"/>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71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29,672</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Novartis royalties paid to HCR</w:t>
            </w:r>
          </w:p>
        </w:tc>
        <w:tc>
          <w:tcPr>
            <w:tcW w:w="140" w:type="dxa"/>
            <w:vAlign w:val="bottom"/>
          </w:tcPr>
          <w:p>
            <w:pPr>
              <w:spacing w:after="0"/>
              <w:rPr>
                <w:sz w:val="18"/>
                <w:szCs w:val="18"/>
                <w:color w:val="auto"/>
              </w:rPr>
            </w:pPr>
          </w:p>
        </w:tc>
        <w:tc>
          <w:tcPr>
            <w:tcW w:w="1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(25,246)</w:t>
            </w:r>
          </w:p>
        </w:tc>
      </w:tr>
      <w:tr>
        <w:trPr>
          <w:trHeight w:val="216"/>
        </w:trPr>
        <w:tc>
          <w:tcPr>
            <w:tcW w:w="20" w:type="dxa"/>
            <w:vAlign w:val="bottom"/>
          </w:tcPr>
          <w:p>
            <w:pPr>
              <w:spacing w:after="0"/>
              <w:rPr>
                <w:sz w:val="18"/>
                <w:szCs w:val="18"/>
                <w:color w:val="auto"/>
              </w:rPr>
            </w:pPr>
          </w:p>
        </w:tc>
        <w:tc>
          <w:tcPr>
            <w:tcW w:w="7160" w:type="dxa"/>
            <w:vAlign w:val="bottom"/>
            <w:tcBorders>
              <w:bottom w:val="single" w:sz="8" w:color="CFF0FC"/>
              <w:right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Interest expense recognized</w:t>
            </w:r>
          </w:p>
        </w:tc>
        <w:tc>
          <w:tcPr>
            <w:tcW w:w="140" w:type="dxa"/>
            <w:vAlign w:val="bottom"/>
            <w:tcBorders>
              <w:bottom w:val="single" w:sz="8" w:color="auto"/>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4,990</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Balance at September 30, 2026</w:t>
            </w:r>
          </w:p>
        </w:tc>
        <w:tc>
          <w:tcPr>
            <w:tcW w:w="1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9,416</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60" w:type="dxa"/>
            <w:vAlign w:val="bottom"/>
            <w:tcBorders>
              <w:right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Current portion</w:t>
            </w:r>
          </w:p>
        </w:tc>
        <w:tc>
          <w:tcPr>
            <w:tcW w:w="14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(9,416)</w:t>
            </w:r>
          </w:p>
        </w:tc>
      </w:tr>
      <w:tr>
        <w:trPr>
          <w:trHeight w:val="20"/>
        </w:trPr>
        <w:tc>
          <w:tcPr>
            <w:tcW w:w="20" w:type="dxa"/>
            <w:vAlign w:val="bottom"/>
          </w:tcPr>
          <w:p>
            <w:pPr>
              <w:spacing w:after="0" w:line="20" w:lineRule="exact"/>
              <w:rPr>
                <w:sz w:val="1"/>
                <w:szCs w:val="1"/>
                <w:color w:val="auto"/>
              </w:rPr>
            </w:pPr>
          </w:p>
        </w:tc>
        <w:tc>
          <w:tcPr>
            <w:tcW w:w="716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Non-current portion</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6374130</wp:posOffset>
            </wp:positionH>
            <wp:positionV relativeFrom="paragraph">
              <wp:posOffset>-454025</wp:posOffset>
            </wp:positionV>
            <wp:extent cx="5143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-170815</wp:posOffset>
            </wp:positionV>
            <wp:extent cx="5143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2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2025 Royalty Bond</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In May 2025, the Company entered into a loan agreement with HCR pursuant to which HCR will provide the Company with an aggregate limited recourse loan of up to $250.0 million (the 2025 Royalty Bond). The 2025 Royalty Bond is disbursable to the Company in three tranches, with $150.0 million funded on the closing date in May 2025, $50.0 million available to be funded if sales of a specified product exceed a specified threshold prior to December 31, 2026, and $50.0 million available to be funded if both parties exercise an option in 2027. Loan proceeds under the 2025 Royalty Bond are funded to the Company net of an original issue discount of 2.25% and reimbursement of certain expenses to HCR. Proceeds received by the Company from the initial funding tranche of the 2025 Royalty Bond in May 2025, net of discounts and transaction costs, were $144.5 million.</w:t>
      </w:r>
    </w:p>
    <w:p>
      <w:pPr>
        <w:spacing w:after="0" w:line="187"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Prior to the maturity date, interest and principal under the 2025 Royalty Bond shall be paid quarterly to HCR solely using proceeds received from certain specified royalties, milestone payments, license fees and other consideration payable to the Company under specified license agreements (collectively, the Royalty Interest), including (i) the Novartis License for Zolgensma and Itvisma, (ii) the collaboration and license agreement with Nippon Shinyaku for RGX-121 and RGX-111, and (iii) NAV Technology Platform license agreements with Rocket Pharmaceuticals, Inc. and Ultragenyx Pharmaceutical Inc. Zolgensma and Itvisma royalties earned</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2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under the Novartis License shall only be included in the Royalty Interest after full repayment of the Second Cap Amount under the 2020 Royalty Purchase Agreement with HCR. The Royalty Interest excludes, and the Company retains the rights to, certain other consideration payable under the license agreements including certain milestone payments, license fees and reimbursement of costs as applicable. The Royalty Interest is payable to HCR net of upstream royalty and sublicense fee obligations payable by the Company to applicable licensors. The 2025 Royalty Bond is collateralized by a security interest and lien on the Royalty Interest.</w:t>
      </w:r>
    </w:p>
    <w:p>
      <w:pPr>
        <w:spacing w:after="0" w:line="183"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2025 Royalty Bond bears interest at a rate of 9.75% plus the 3-month secured overnight financing rate as administered by the Federal Reserve Bank of New York (SOFR), with a minimum interest rate of 14.0%. Interest payments are due quarterly using proceeds received under the Royalty Interest. At each payment date, any proceeds received under the Royalty Interest in excess of the interest payment due will be applied to the outstanding principal. If the proceeds received under the Royalty Interest are insufficient to pay the interest due, unpaid interest will accrue to the principal balance.</w:t>
      </w:r>
    </w:p>
    <w:p>
      <w:pPr>
        <w:spacing w:after="0" w:line="180"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2025 Royalty Bond matures in May 2035, subject to potential extension, unless repaid in full at an earlier date. The maturity date may be extended by two years to May 2037 subject to a potential patent term extension of a specific patent. Upon maturity, the outstanding principal and interest shall be due and payable to HCR. Additionally, upon repayment in full prior to the maturity date, or at the maturity date, the Company shall pay to HCR an additional amount equal to 5.0% of the total outstanding principal as of the applicable determination date. Other than through the payment of proceeds received under the Royalty Interest, the 2025 Royalty Bond may not be prepaid prior to maturity.</w:t>
      </w:r>
    </w:p>
    <w:p>
      <w:pPr>
        <w:spacing w:after="0" w:line="183" w:lineRule="exact"/>
        <w:rPr>
          <w:sz w:val="20"/>
          <w:szCs w:val="20"/>
          <w:color w:val="auto"/>
        </w:rPr>
      </w:pPr>
    </w:p>
    <w:p>
      <w:pPr>
        <w:ind w:right="180" w:firstLine="509"/>
        <w:spacing w:after="0" w:line="253" w:lineRule="auto"/>
        <w:rPr>
          <w:sz w:val="20"/>
          <w:szCs w:val="20"/>
          <w:color w:val="auto"/>
        </w:rPr>
      </w:pPr>
      <w:r>
        <w:rPr>
          <w:rFonts w:ascii="Times New Roman" w:cs="Times New Roman" w:eastAsia="Times New Roman" w:hAnsi="Times New Roman"/>
          <w:sz w:val="18"/>
          <w:szCs w:val="18"/>
          <w:color w:val="auto"/>
        </w:rPr>
        <w:t>In connection with the loan agreement for the 2025 Royalty Bond, the Company also issued HCR warrants to purchase 268,096 shares of its common stock at an exercise price per share of $14.92 (the May 2025 Warrants). The May 2025 Warrants are exercisable upon issuance and expire 10 years from the closing date of the 2025 Royalty Bond. The Company evaluated the May 2025 Warrants and concluded the warrants are indexed to the Company's common stock and meet the criteria to be classified as equity. The net proceeds received by the Company under the loan agreement of $144.5 million were allocated between the 2025 Royalty Bond and the May 2025 Warrants based on their relative fair values. The fair value of the 2025 Royalty Bond was determined based on the carrying amount of the loan on the closing date. The fair value of the May 2025 Warrants was determined using a Black-Scholes option-pricing model on the closing date, resulting in an estimated fair value of the warrants of $1.7 million. Based on the relative fair values of these instruments, $1.6 million of the net proceeds were allocated to the warrants and recorded as additional paid-in capital. The net proceeds allocated to the 2025 Royalty Bond were $142.9 million, resulting in a total debt discount of $7.1 million which is recorded as a reduction of the carrying value of the debt and will be amortized as interest expense over the life of the 2025 Royalty Bond.</w:t>
      </w:r>
    </w:p>
    <w:p>
      <w:pPr>
        <w:spacing w:after="0" w:line="194"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The effective interest rate of the 2025 Royalty Bond is partially estimated based on the Company's estimate of future payments under the Royalty Interest to be paid HCR. At each reporting date, the Company reassesses its estimate of total future payments to HCR under the arrangement and prospectively adjusts the effective interest rate and amortization of the debt and associated discount as necessary. Over the life of the arrangement, the actual effective interest rate will be affected by the amount and timing of the actual Royalty Interest payments to HCR and fluctuations in the variable interest rate, which may differ from the Company’s forecasts. The estimated effective interest rate as of September 30, 2026 and December 31, 2025 was 15.0% and 15.1%, respectively, which was based on the amortized balance of the liability, the current coupon rate and the estimated remaining payments to HCR under the arrangement.</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the changes in the royalty monetization liability under the 2025 Royalty Bond with HCR (in thousands):</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7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2025 Royalty Bond</w:t>
            </w:r>
          </w:p>
        </w:tc>
        <w:tc>
          <w:tcPr>
            <w:tcW w:w="80" w:type="dxa"/>
            <w:vAlign w:val="bottom"/>
          </w:tcPr>
          <w:p>
            <w:pPr>
              <w:spacing w:after="0"/>
              <w:rPr>
                <w:sz w:val="15"/>
                <w:szCs w:val="15"/>
                <w:color w:val="auto"/>
              </w:rPr>
            </w:pPr>
          </w:p>
        </w:tc>
      </w:tr>
      <w:tr>
        <w:trPr>
          <w:trHeight w:val="209"/>
        </w:trPr>
        <w:tc>
          <w:tcPr>
            <w:tcW w:w="20" w:type="dxa"/>
            <w:vAlign w:val="bottom"/>
          </w:tcPr>
          <w:p>
            <w:pPr>
              <w:spacing w:after="0"/>
              <w:rPr>
                <w:sz w:val="18"/>
                <w:szCs w:val="18"/>
                <w:color w:val="auto"/>
              </w:rPr>
            </w:pPr>
          </w:p>
        </w:tc>
        <w:tc>
          <w:tcPr>
            <w:tcW w:w="71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157,345</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Unpaid interest accrued to principal</w:t>
            </w:r>
          </w:p>
        </w:tc>
        <w:tc>
          <w:tcPr>
            <w:tcW w:w="1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17,770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60" w:type="dxa"/>
            <w:vAlign w:val="bottom"/>
            <w:tcBorders>
              <w:bottom w:val="single" w:sz="8" w:color="CFF0FC"/>
              <w:right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Amortization of debt discount and issuance costs</w:t>
            </w:r>
          </w:p>
        </w:tc>
        <w:tc>
          <w:tcPr>
            <w:tcW w:w="16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1,147</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Balance at September 30, 2026</w:t>
            </w:r>
          </w:p>
        </w:tc>
        <w:tc>
          <w:tcPr>
            <w:tcW w:w="1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176,262</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60" w:type="dxa"/>
            <w:vAlign w:val="bottom"/>
            <w:tcBorders>
              <w:right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Current portion</w:t>
            </w:r>
          </w:p>
        </w:tc>
        <w:tc>
          <w:tcPr>
            <w:tcW w:w="16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(2,698)</w:t>
            </w:r>
          </w:p>
        </w:tc>
      </w:tr>
      <w:tr>
        <w:trPr>
          <w:trHeight w:val="20"/>
        </w:trPr>
        <w:tc>
          <w:tcPr>
            <w:tcW w:w="20" w:type="dxa"/>
            <w:vAlign w:val="bottom"/>
          </w:tcPr>
          <w:p>
            <w:pPr>
              <w:spacing w:after="0" w:line="20" w:lineRule="exact"/>
              <w:rPr>
                <w:sz w:val="1"/>
                <w:szCs w:val="1"/>
                <w:color w:val="auto"/>
              </w:rPr>
            </w:pPr>
          </w:p>
        </w:tc>
        <w:tc>
          <w:tcPr>
            <w:tcW w:w="7160" w:type="dxa"/>
            <w:vAlign w:val="bottom"/>
            <w:tcBorders>
              <w:right w:val="single" w:sz="8" w:color="CFF0FC"/>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Non-current portion</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173,564</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6374130</wp:posOffset>
            </wp:positionH>
            <wp:positionV relativeFrom="paragraph">
              <wp:posOffset>-453390</wp:posOffset>
            </wp:positionV>
            <wp:extent cx="5143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-170815</wp:posOffset>
            </wp:positionV>
            <wp:extent cx="5143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322" w:lineRule="exact"/>
        <w:rPr>
          <w:sz w:val="20"/>
          <w:szCs w:val="20"/>
          <w:color w:val="auto"/>
        </w:rPr>
      </w:pPr>
    </w:p>
    <w:p>
      <w:pPr>
        <w:ind w:left="520" w:right="8500" w:hanging="512"/>
        <w:spacing w:after="0" w:line="400" w:lineRule="auto"/>
        <w:tabs>
          <w:tab w:leader="none" w:pos="191" w:val="left"/>
        </w:tabs>
        <w:numPr>
          <w:ilvl w:val="0"/>
          <w:numId w:val="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Commitments and Contingencies </w:t>
      </w:r>
      <w:r>
        <w:rPr>
          <w:rFonts w:ascii="Times New Roman" w:cs="Times New Roman" w:eastAsia="Times New Roman" w:hAnsi="Times New Roman"/>
          <w:sz w:val="17"/>
          <w:szCs w:val="17"/>
          <w:b w:val="1"/>
          <w:bCs w:val="1"/>
          <w:i w:val="1"/>
          <w:iCs w:val="1"/>
          <w:color w:val="auto"/>
        </w:rPr>
        <w:t>GlaxoSmithKline</w:t>
      </w:r>
    </w:p>
    <w:p>
      <w:pPr>
        <w:ind w:right="940" w:firstLine="509"/>
        <w:spacing w:after="0" w:line="282" w:lineRule="auto"/>
        <w:rPr>
          <w:sz w:val="20"/>
          <w:szCs w:val="20"/>
          <w:color w:val="auto"/>
        </w:rPr>
      </w:pPr>
      <w:r>
        <w:rPr>
          <w:rFonts w:ascii="Times New Roman" w:cs="Times New Roman" w:eastAsia="Times New Roman" w:hAnsi="Times New Roman"/>
          <w:sz w:val="18"/>
          <w:szCs w:val="18"/>
          <w:color w:val="auto"/>
        </w:rPr>
        <w:t>In March 2009, the Company entered into a license agreement, which was amended in April 2009 (as amended, the GSK License), with GlaxoSmithKline LLC (GSK) for exclusive, worldwide rights to certain patents underlying the Company’s NAV</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19" w:lineRule="exact"/>
        <w:rPr>
          <w:sz w:val="20"/>
          <w:szCs w:val="20"/>
          <w:color w:val="auto"/>
        </w:rPr>
      </w:pPr>
    </w:p>
    <w:p>
      <w:pPr>
        <w:jc w:val="both"/>
        <w:ind w:right="180"/>
        <w:spacing w:after="0" w:line="261" w:lineRule="auto"/>
        <w:rPr>
          <w:sz w:val="20"/>
          <w:szCs w:val="20"/>
          <w:color w:val="auto"/>
        </w:rPr>
      </w:pPr>
      <w:r>
        <w:rPr>
          <w:rFonts w:ascii="Times New Roman" w:cs="Times New Roman" w:eastAsia="Times New Roman" w:hAnsi="Times New Roman"/>
          <w:sz w:val="18"/>
          <w:szCs w:val="18"/>
          <w:color w:val="auto"/>
        </w:rPr>
        <w:t>Technology Platform which are owned by The Trustees of the University of Pennsylvania (Penn) and exclusively licensed to GSK. Pursuant to the GSK License, the Company is obligated to pay GSK royalties on net sales of licensed products and sublicense fees. Additionally, the Company is obligated to reimburse GSK for certain costs incurred related to the maintenance of the licensed patents. The Company was also obligated to pay $1.5 million to GSK upon the achievement of various milestones, all of which have been achieved and paid.</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Expenses incurred by the Company related to the GSK License were recorded as follows (in thousands):</w:t>
      </w:r>
    </w:p>
    <w:p>
      <w:pPr>
        <w:spacing w:after="0" w:line="219"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4180" w:type="dxa"/>
            <w:vAlign w:val="bottom"/>
          </w:tcPr>
          <w:p>
            <w:pPr>
              <w:spacing w:after="0"/>
              <w:rPr>
                <w:sz w:val="15"/>
                <w:szCs w:val="15"/>
                <w:color w:val="auto"/>
              </w:rPr>
            </w:pPr>
          </w:p>
        </w:tc>
        <w:tc>
          <w:tcPr>
            <w:tcW w:w="2800" w:type="dxa"/>
            <w:vAlign w:val="bottom"/>
            <w:gridSpan w:val="6"/>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72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418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ind w:right="39"/>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0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3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43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3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r>
      <w:tr>
        <w:trPr>
          <w:trHeight w:val="209"/>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license and royalty revenues:</w:t>
            </w:r>
          </w:p>
        </w:tc>
        <w:tc>
          <w:tcPr>
            <w:tcW w:w="9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4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Royalties on net sales of Zolgensma and Itvisma</w:t>
            </w:r>
          </w:p>
        </w:tc>
        <w:tc>
          <w:tcPr>
            <w:tcW w:w="900" w:type="dxa"/>
            <w:vAlign w:val="bottom"/>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120" w:type="dxa"/>
            <w:vAlign w:val="bottom"/>
          </w:tcPr>
          <w:p>
            <w:pPr>
              <w:spacing w:after="0"/>
              <w:rPr>
                <w:sz w:val="18"/>
                <w:szCs w:val="18"/>
                <w:color w:val="auto"/>
              </w:rPr>
            </w:pP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5,709</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2,678</w:t>
            </w: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13,495</w:t>
            </w:r>
          </w:p>
        </w:tc>
        <w:tc>
          <w:tcPr>
            <w:tcW w:w="120" w:type="dxa"/>
            <w:vAlign w:val="bottom"/>
          </w:tcPr>
          <w:p>
            <w:pPr>
              <w:spacing w:after="0"/>
              <w:rPr>
                <w:sz w:val="18"/>
                <w:szCs w:val="18"/>
                <w:color w:val="auto"/>
              </w:rPr>
            </w:pPr>
          </w:p>
        </w:tc>
      </w:tr>
      <w:tr>
        <w:trPr>
          <w:trHeight w:val="216"/>
        </w:trPr>
        <w:tc>
          <w:tcPr>
            <w:tcW w:w="41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Settlement payment</w:t>
            </w:r>
          </w:p>
        </w:tc>
        <w:tc>
          <w:tcPr>
            <w:tcW w:w="90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w:t>
            </w:r>
          </w:p>
        </w:tc>
        <w:tc>
          <w:tcPr>
            <w:tcW w:w="90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20" w:type="dxa"/>
            <w:vAlign w:val="bottom"/>
          </w:tcPr>
          <w:p>
            <w:pPr>
              <w:spacing w:after="0"/>
              <w:rPr>
                <w:sz w:val="18"/>
                <w:szCs w:val="18"/>
                <w:color w:val="auto"/>
              </w:rPr>
            </w:pPr>
          </w:p>
        </w:tc>
      </w:tr>
      <w:tr>
        <w:trPr>
          <w:trHeight w:val="210"/>
        </w:trPr>
        <w:tc>
          <w:tcPr>
            <w:tcW w:w="41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cost of license and royalty revenues</w:t>
            </w:r>
          </w:p>
        </w:tc>
        <w:tc>
          <w:tcPr>
            <w:tcW w:w="900" w:type="dxa"/>
            <w:vAlign w:val="bottom"/>
            <w:tcBorders>
              <w:top w:val="single" w:sz="8" w:color="auto"/>
            </w:tcBorders>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5,710</w:t>
            </w:r>
          </w:p>
        </w:tc>
        <w:tc>
          <w:tcPr>
            <w:tcW w:w="20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12,818</w:t>
            </w:r>
          </w:p>
        </w:tc>
        <w:tc>
          <w:tcPr>
            <w:tcW w:w="20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13,739</w:t>
            </w:r>
          </w:p>
        </w:tc>
        <w:tc>
          <w:tcPr>
            <w:tcW w:w="120" w:type="dxa"/>
            <w:vAlign w:val="bottom"/>
            <w:shd w:val="clear" w:color="auto" w:fill="CFF0FC"/>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0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20" w:type="dxa"/>
            <w:vAlign w:val="bottom"/>
          </w:tcPr>
          <w:p>
            <w:pPr>
              <w:spacing w:after="0"/>
              <w:rPr>
                <w:sz w:val="18"/>
                <w:szCs w:val="18"/>
                <w:color w:val="auto"/>
              </w:rPr>
            </w:pPr>
          </w:p>
        </w:tc>
      </w:tr>
      <w:tr>
        <w:trPr>
          <w:trHeight w:val="20"/>
        </w:trPr>
        <w:tc>
          <w:tcPr>
            <w:tcW w:w="41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9"/>
        </w:trPr>
        <w:tc>
          <w:tcPr>
            <w:tcW w:w="418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12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5,740</w:t>
            </w:r>
          </w:p>
        </w:tc>
        <w:tc>
          <w:tcPr>
            <w:tcW w:w="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12,868</w:t>
            </w:r>
          </w:p>
        </w:tc>
        <w:tc>
          <w:tcPr>
            <w:tcW w:w="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13,876</w:t>
            </w:r>
          </w:p>
        </w:tc>
        <w:tc>
          <w:tcPr>
            <w:tcW w:w="120" w:type="dxa"/>
            <w:vAlign w:val="bottom"/>
            <w:shd w:val="clear" w:color="auto" w:fill="CFF0FC"/>
          </w:tcPr>
          <w:p>
            <w:pPr>
              <w:spacing w:after="0"/>
              <w:rPr>
                <w:sz w:val="19"/>
                <w:szCs w:val="19"/>
                <w:color w:val="auto"/>
              </w:rPr>
            </w:pPr>
          </w:p>
        </w:tc>
      </w:tr>
      <w:tr>
        <w:trPr>
          <w:trHeight w:val="20"/>
        </w:trPr>
        <w:tc>
          <w:tcPr>
            <w:tcW w:w="418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-25400</wp:posOffset>
            </wp:positionV>
            <wp:extent cx="6032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-7620</wp:posOffset>
            </wp:positionV>
            <wp:extent cx="6032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-25400</wp:posOffset>
            </wp:positionV>
            <wp:extent cx="6032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-7620</wp:posOffset>
            </wp:positionV>
            <wp:extent cx="6032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-25400</wp:posOffset>
            </wp:positionV>
            <wp:extent cx="6032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-7620</wp:posOffset>
            </wp:positionV>
            <wp:extent cx="6032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-25400</wp:posOffset>
            </wp:positionV>
            <wp:extent cx="6858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-7620</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As of September 30, 2026 and December 31, 2025, the Company had recorded $0.9 million and $5.7 million, respectively, payable under the GSK License.</w:t>
      </w:r>
    </w:p>
    <w:p>
      <w:pPr>
        <w:spacing w:after="0" w:line="2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GSK Settlement Agreement</w:t>
      </w:r>
    </w:p>
    <w:p>
      <w:pPr>
        <w:spacing w:after="0" w:line="119"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The Company was notified of a dispute with GSK over the amount of sublicense fees paid by the Company to GSK under the GSK License. GSK claimed there had been a significant underpayment by the Company with respect to sublicense fees. In February 2026, the Company and GSK engaged in non-binding mediation regarding the dispute. In March 2026, the Company and GSK entered into a settlement and release agreement to resolve the matter. The settlement agreement provides for the mutual release of all past claims and certain future claims by the parties under the GSK License. Pursuant to the settlement agreement, the Company paid $10.0 million to GSK in March 2026, which was recorded as cost of license and royalty revenues in the first quarter of 2026. Additionally, the Company will continue to pay sublicense fees to GSK on license fees earned under existing sublicense agreements, utilizing the Company's historical allocation methodologies for such sublicense payments.</w:t>
      </w:r>
    </w:p>
    <w:p>
      <w:pPr>
        <w:spacing w:after="0" w:line="2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Sarepta Therapeutics Settlement Agreement</w:t>
      </w:r>
    </w:p>
    <w:p>
      <w:pPr>
        <w:spacing w:after="0" w:line="121" w:lineRule="exact"/>
        <w:rPr>
          <w:sz w:val="20"/>
          <w:szCs w:val="20"/>
          <w:color w:val="auto"/>
        </w:rPr>
      </w:pPr>
    </w:p>
    <w:p>
      <w:pPr>
        <w:jc w:val="both"/>
        <w:ind w:right="140" w:firstLine="509"/>
        <w:spacing w:after="0" w:line="324" w:lineRule="auto"/>
        <w:rPr>
          <w:sz w:val="20"/>
          <w:szCs w:val="20"/>
          <w:color w:val="auto"/>
        </w:rPr>
      </w:pPr>
      <w:r>
        <w:rPr>
          <w:rFonts w:ascii="Times New Roman" w:cs="Times New Roman" w:eastAsia="Times New Roman" w:hAnsi="Times New Roman"/>
          <w:sz w:val="17"/>
          <w:szCs w:val="17"/>
          <w:color w:val="auto"/>
        </w:rPr>
        <w:t>In September 2026, the Company and Penn entered into a settlement agreement with Sarepta and affiliated entities, and Catalent, Inc. to resolve all litigation alleging infringement of certain U.S. patents related to Sarepta's manufacture, use, offer to sell and sale of SRP-9001 (also known as Elevidys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w:t>
      </w:r>
    </w:p>
    <w:p>
      <w:pPr>
        <w:spacing w:after="0" w:line="41"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Pursuant to the terms of the settlement agreement, Sarepta made a payment of $39.0 million to the Company following the effective date of the agreement. The parties have terminated with prejudice all ongoing patent litigation regarding the asserted patents. The settlement agreement includes the release by the Company and Penn of all current claims of infringement and a covenant not to sue for future patent claims relating to any Sarepta gene therapy product that uses an AAVrh74-based capsid, including Elevidys, based upon certain patents and patent applications. In addition, the Company agreed not to sue Sarepta or its affiliates, licensees or commercial partners over any Company patents or patent applications that cover the existing form of Elevidys or the AAVrh74-based capsid sequence; but this does not extend to patents or patent applications that cover other aspects of gene therapy products.</w:t>
      </w:r>
    </w:p>
    <w:p>
      <w:pPr>
        <w:spacing w:after="0" w:line="189"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The Company recorded a gain of $38.0 million in the third quarter of 2026 related to the settlement agreement, which consisted of the $39.0 million settlement payment due from Sarepta, net of proceeds payable to certain licensors as a result of the settlement. The $39.0 million settlement payment was recorded as other current assets on the consolidated balance sheet as of September 30, 2026 and was received in full from Sarepta in October 2026.</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 February 2026, a putative securities class action complaint was filed by Andre Kuik (Kuik) against the Company and certain of its current officers and directors in the United States District Court for the District of Maryland. The complaint asserted claims under Sections 10(b) and 20(a) of the Securities Exchange Act of 1934 and Rule 10b-5 promulgated thereunder, on behalf of a putative class of persons who purchased or otherwise acquired the Company's securities during the period from February 9, 2022</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1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through January 27, 2026. The complaint alleged that the Company misled investors concerning the viability and safety of RGX-111, and that the Company's stock price declined following the announcement of the clinical hold imposed by the U.S. Food and Drug Administration (FDA) on the Company’s RGX-111 program on January 28, 2026. In August 2026, an amended complaint was filed focusing on interactions with FDA and Company statements prior to the Company’s receipt of a Complete Response Letter for RGX-121 in February 2026. The amended complaint asserts claims under Sections 10(b) and 20(a) of the Securities Exchange Act of 1934 and Rule 10b-5 promulgated thereunder, on behalf of a putative class of persons who purchased or otherwise acquired the Company's securities during the period from February 7, 2024 through March 3, 2026. The plaintiff seeks unspecified compensatory damages, attorneys' fees, expert fees and other costs, and other relief as the court may deem just and proper. The Company believes that it has meritorious defenses to the claims asserted and intends to vigorously defend against them. The Company does not believe that a loss is probable, and no reasonable range of loss is estimable, related to this matter. No liabilities related to this matter were recorded as of September 30, 2026.</w:t>
      </w:r>
    </w:p>
    <w:p>
      <w:pPr>
        <w:spacing w:after="0" w:line="188"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March 2026, a purported stockholder derivative complaint, as revised, was filed by plaintiff Roberto Medina (Medina) against the Company as nominal defendant and certain of its current officers and directors in the United States District Court for the District of Maryland. The complaint alleges breach of fiduciary duty and claims of unjust enrichment, abuse of control, gross mismanagement, waste of corporate assets, and alleged violations of Sections 10(b), 14(a) and 21D of the Securities Exchange Act of 1934 during the period from February 9, 2022 through January 27, 2026. The complaint alleges that the Company misled investors concerning the viability and safety of RGX-111 and that the Company's stock price declined following the announcement of the clinical hold imposed by the FDA on the Company’s RGX-111 program on January 28, 2026. The complaint seeks, among other relief, damages in favor of the Company, disgorgement of alleged profits, restitution, attorneys' fees, expert fees, corporate governance reforms, and other relief as the court may deem just and proper. In May 2026 a substantially similar suit was filed by plaintiff Matthew Hay (Hay) in the United States District Court for the District of Maryland, containing largely similar factual and legal contentions and requested relief. In June 2026 the Medina and Hay derivative suits were consolidated and stayed through the resolution of the planned motion to dismiss in the Kuik securities suit. The Company believes the claims are procedurally defective. The Company does not believe that a loss is probable, and no reasonable range of loss is estimable, related to this matter. No liabilities related to this matter were recorded as of September 30, 2026.</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Capitalization</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Public Offerings of Common Stock and Pre-funded Warrants</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In July 2026, the Company completed a public offering of 11,671,139 shares of its common stock at a price of $9.00 per share and 1,111,111 pre-funded warrants (the July 2026 Pre-funded Warrants) to purchase shares of its common stock at a price of $8.9999 per pre-funded warrant, which equaled the public offering price per share of the common stock less the $0.0001 exercise price of each pre-funded warrant. The aggregate net proceeds received by the Company from the offering were $107.8 million, net of underwriting discounts and commissions and offering expenses.</w:t>
      </w:r>
    </w:p>
    <w:p>
      <w:pPr>
        <w:spacing w:after="0" w:line="180"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In March 2024, the Company completed a public offering of 4,565,260 shares of its common stock at a price of $23.00 per share and 1,521,740 pre-funded warrants (the March 2024 Pre-funded Warrants) to purchase shares of its common stock at a price of $22.9999 per pre-funded warrant, which equaled the public offering price per share of the common stock less the $0.0001 exercise price of each pre-funded warrant. The aggregate net proceeds received by the Company from the offering were $131.1 million, net of underwriting discounts and commissions and offering expenses</w:t>
      </w:r>
    </w:p>
    <w:p>
      <w:pPr>
        <w:spacing w:after="0" w:line="180" w:lineRule="exact"/>
        <w:rPr>
          <w:sz w:val="20"/>
          <w:szCs w:val="20"/>
          <w:color w:val="auto"/>
        </w:rPr>
      </w:pPr>
    </w:p>
    <w:p>
      <w:pPr>
        <w:ind w:right="20" w:firstLine="509"/>
        <w:spacing w:after="0" w:line="277" w:lineRule="auto"/>
        <w:rPr>
          <w:sz w:val="20"/>
          <w:szCs w:val="20"/>
          <w:color w:val="auto"/>
        </w:rPr>
      </w:pPr>
      <w:r>
        <w:rPr>
          <w:rFonts w:ascii="Times New Roman" w:cs="Times New Roman" w:eastAsia="Times New Roman" w:hAnsi="Times New Roman"/>
          <w:sz w:val="17"/>
          <w:szCs w:val="17"/>
          <w:color w:val="auto"/>
        </w:rPr>
        <w:t>The March 2024 Pre-funded Warrants and July 2026 Pre-funded Warrants (collectively, the Pre-funded Warrants) have similar terms and conditions, are exercisable at the option of the warrant holder at any time, subject to certain limitations, and do not expire. The Company evaluated the Pre-funded Warrants and concluded the warrants are indexed to the Company's common stock, meet the criteria to be classified as equity and are not subject to remeasurement. The proceeds received from the issuance of the Pre-funded Warrants were recorded as additional paid-in capital. No Pre-funded Warrants were exercised during the nine months ended September 30, 2026. As of September 30, 2026, there were 1,980,714 Pre-funded Warrants outstanding.</w:t>
      </w:r>
    </w:p>
    <w:p>
      <w:pPr>
        <w:spacing w:after="0" w:line="2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At-the-Market Offering Program</w:t>
      </w:r>
    </w:p>
    <w:p>
      <w:pPr>
        <w:spacing w:after="0" w:line="12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In December 2024, the Company entered into a Sales Agreement with Leerink Partners LLC (Leerink) pursuant to which the Company may offer and sell shares of its common stock having an aggregate offering price of up to $150.0 million from time to time through Leerink, acting as the Company's sales agent (the ATM Program). During the nine months ended September 30, 2026, the Company sold 2,318,735 shares of common stock under the ATM Program for aggregate net proceeds of $18.9 million after deducting commissions and offering expenses. No shares of common stock were sold under the ATM Program prior to the second quarter of 2026.</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May 2025 Warrants</w:t>
      </w:r>
    </w:p>
    <w:p>
      <w:pPr>
        <w:spacing w:after="0" w:line="12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In May 2025, in connection with issuance of the 2025 Royalty Bond, the Company issued to HCR the May 2025 Warrants to purchase 268,096 shares of its common stock at an exercise price per share of $14.92. The May 2025 Warrants are exercisable upon issuance and have a contractual term of 10 years. The Company evaluated the May 2025 Warrants and concluded the warrants are indexed to the Company's common stock, meet the criteria to be classified as equity and are not subject to remeasurement. The Company allocated $1.6 million of the net proceeds from the 2025 Royalty Bond to the issuance of the May 2025 Warrants, which were recorded as additional paid-in capital. Please refer to Note 7 for further information on the May 2025 Warrants issued in connection with the 2025 Royalty Bond. As of September 30, 2026, no May 2025 Warrants had been exercised.</w:t>
      </w:r>
    </w:p>
    <w:p>
      <w:pPr>
        <w:spacing w:after="0" w:line="291" w:lineRule="exact"/>
        <w:rPr>
          <w:sz w:val="20"/>
          <w:szCs w:val="20"/>
          <w:color w:val="auto"/>
        </w:rPr>
      </w:pPr>
    </w:p>
    <w:p>
      <w:pPr>
        <w:jc w:val="right"/>
        <w:ind w:right="7940"/>
        <w:spacing w:after="0"/>
        <w:rPr>
          <w:sz w:val="20"/>
          <w:szCs w:val="20"/>
          <w:color w:val="auto"/>
        </w:rPr>
      </w:pPr>
      <w:r>
        <w:rPr>
          <w:rFonts w:ascii="Times New Roman" w:cs="Times New Roman" w:eastAsia="Times New Roman" w:hAnsi="Times New Roman"/>
          <w:sz w:val="18"/>
          <w:szCs w:val="18"/>
          <w:b w:val="1"/>
          <w:bCs w:val="1"/>
          <w:color w:val="auto"/>
        </w:rPr>
        <w:t>10. License and Collaboration Agreements</w:t>
      </w:r>
    </w:p>
    <w:p>
      <w:pPr>
        <w:spacing w:after="0" w:line="117" w:lineRule="exact"/>
        <w:rPr>
          <w:sz w:val="20"/>
          <w:szCs w:val="20"/>
          <w:color w:val="auto"/>
        </w:rPr>
      </w:pPr>
    </w:p>
    <w:p>
      <w:pPr>
        <w:jc w:val="right"/>
        <w:ind w:right="7980"/>
        <w:spacing w:after="0"/>
        <w:rPr>
          <w:sz w:val="20"/>
          <w:szCs w:val="20"/>
          <w:color w:val="auto"/>
        </w:rPr>
      </w:pPr>
      <w:r>
        <w:rPr>
          <w:rFonts w:ascii="Times New Roman" w:cs="Times New Roman" w:eastAsia="Times New Roman" w:hAnsi="Times New Roman"/>
          <w:sz w:val="18"/>
          <w:szCs w:val="18"/>
          <w:b w:val="1"/>
          <w:bCs w:val="1"/>
          <w:i w:val="1"/>
          <w:iCs w:val="1"/>
          <w:color w:val="auto"/>
        </w:rPr>
        <w:t>License and Collaboration Revenues</w:t>
      </w:r>
    </w:p>
    <w:p>
      <w:pPr>
        <w:spacing w:after="0" w:line="121"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As of September 30, 2026, the Company’s NAV Technology Platform was being applied by NAV Technology Licensees in two commercial products, Zolgensma and Itvisma, and in the development of various other licensed products. Additionally, the Company has licensed intellectual property rights to collaborators for the joint development and commercialization of certain product candidates. Consideration payable to the Company under its license and collaboration agreements may include: (i) up-front and annual fees, (ii) milestone payments based on the achievement of certain development and sales-based milestones, (iii) sublicense fees, (iv) royalties on sales of licensed products, (v) fees for services related to the development and manufacturing of licensed products and (vi) other consideration payable upon optional goods and services purchased by licensees and collaborators. Sublicense fees vary by license and range from a mid-single digit percentage to a low-double digit percentage of license fees received by licensees as a result of sublicenses. Royalties on net sales of commercialized products vary by license and range from a mid-single digit percentage to a low double-digit percentage of net sales by licensees.</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Revenues earned under license and collaboration agreements consisted of the following (in thousands):</w:t>
      </w:r>
    </w:p>
    <w:p>
      <w:pPr>
        <w:spacing w:after="0" w:line="219"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4180" w:type="dxa"/>
            <w:vAlign w:val="bottom"/>
          </w:tcPr>
          <w:p>
            <w:pPr>
              <w:spacing w:after="0"/>
              <w:rPr>
                <w:sz w:val="15"/>
                <w:szCs w:val="15"/>
                <w:color w:val="auto"/>
              </w:rPr>
            </w:pPr>
          </w:p>
        </w:tc>
        <w:tc>
          <w:tcPr>
            <w:tcW w:w="2800" w:type="dxa"/>
            <w:vAlign w:val="bottom"/>
            <w:gridSpan w:val="5"/>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72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418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6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3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43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3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r>
      <w:tr>
        <w:trPr>
          <w:trHeight w:val="209"/>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License and royalty revenue:</w:t>
            </w:r>
          </w:p>
        </w:tc>
        <w:tc>
          <w:tcPr>
            <w:tcW w:w="8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4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Zolgensma and Itvisma royalties</w:t>
            </w:r>
          </w:p>
        </w:tc>
        <w:tc>
          <w:tcPr>
            <w:tcW w:w="840" w:type="dxa"/>
            <w:vAlign w:val="bottom"/>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5,244</w:t>
            </w: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23,586</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14,137</w:t>
            </w: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59,002</w:t>
            </w:r>
          </w:p>
        </w:tc>
        <w:tc>
          <w:tcPr>
            <w:tcW w:w="120" w:type="dxa"/>
            <w:vAlign w:val="bottom"/>
          </w:tcPr>
          <w:p>
            <w:pPr>
              <w:spacing w:after="0"/>
              <w:rPr>
                <w:sz w:val="18"/>
                <w:szCs w:val="18"/>
                <w:color w:val="auto"/>
              </w:rPr>
            </w:pPr>
          </w:p>
        </w:tc>
      </w:tr>
      <w:tr>
        <w:trPr>
          <w:trHeight w:val="216"/>
        </w:trPr>
        <w:tc>
          <w:tcPr>
            <w:tcW w:w="41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AbbVie development milestone</w:t>
            </w:r>
          </w:p>
        </w:tc>
        <w:tc>
          <w:tcPr>
            <w:tcW w:w="84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Nippon Shinyaku licenses</w:t>
            </w:r>
          </w:p>
        </w:tc>
        <w:tc>
          <w:tcPr>
            <w:tcW w:w="8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69,979</w:t>
            </w:r>
          </w:p>
        </w:tc>
        <w:tc>
          <w:tcPr>
            <w:tcW w:w="120" w:type="dxa"/>
            <w:vAlign w:val="bottom"/>
          </w:tcPr>
          <w:p>
            <w:pPr>
              <w:spacing w:after="0"/>
              <w:rPr>
                <w:sz w:val="18"/>
                <w:szCs w:val="18"/>
                <w:color w:val="auto"/>
              </w:rPr>
            </w:pPr>
          </w:p>
        </w:tc>
      </w:tr>
      <w:tr>
        <w:trPr>
          <w:trHeight w:val="216"/>
        </w:trPr>
        <w:tc>
          <w:tcPr>
            <w:tcW w:w="418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Other</w:t>
            </w:r>
          </w:p>
        </w:tc>
        <w:tc>
          <w:tcPr>
            <w:tcW w:w="840" w:type="dxa"/>
            <w:vAlign w:val="bottom"/>
            <w:tcBorders>
              <w:bottom w:val="single" w:sz="8" w:color="auto"/>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4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license and royalty revenue</w:t>
            </w:r>
          </w:p>
        </w:tc>
        <w:tc>
          <w:tcPr>
            <w:tcW w:w="8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5,244</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23,605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114,175</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129,119</w:t>
            </w:r>
          </w:p>
        </w:tc>
        <w:tc>
          <w:tcPr>
            <w:tcW w:w="120" w:type="dxa"/>
            <w:vAlign w:val="bottom"/>
          </w:tcPr>
          <w:p>
            <w:pPr>
              <w:spacing w:after="0"/>
              <w:rPr>
                <w:sz w:val="18"/>
                <w:szCs w:val="18"/>
                <w:color w:val="auto"/>
              </w:rPr>
            </w:pPr>
          </w:p>
        </w:tc>
      </w:tr>
      <w:tr>
        <w:trPr>
          <w:trHeight w:val="216"/>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Service revenue:</w:t>
            </w:r>
          </w:p>
        </w:tc>
        <w:tc>
          <w:tcPr>
            <w:tcW w:w="8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4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Nippon Shinyaku services</w:t>
            </w:r>
          </w:p>
        </w:tc>
        <w:tc>
          <w:tcPr>
            <w:tcW w:w="8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3,309</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8,040</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10,426</w:t>
            </w:r>
          </w:p>
        </w:tc>
        <w:tc>
          <w:tcPr>
            <w:tcW w:w="120" w:type="dxa"/>
            <w:vAlign w:val="bottom"/>
          </w:tcPr>
          <w:p>
            <w:pPr>
              <w:spacing w:after="0"/>
              <w:rPr>
                <w:sz w:val="18"/>
                <w:szCs w:val="18"/>
                <w:color w:val="auto"/>
              </w:rPr>
            </w:pPr>
          </w:p>
        </w:tc>
      </w:tr>
      <w:tr>
        <w:trPr>
          <w:trHeight w:val="216"/>
        </w:trPr>
        <w:tc>
          <w:tcPr>
            <w:tcW w:w="418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Other</w:t>
            </w:r>
          </w:p>
        </w:tc>
        <w:tc>
          <w:tcPr>
            <w:tcW w:w="840" w:type="dxa"/>
            <w:vAlign w:val="bottom"/>
            <w:tcBorders>
              <w:bottom w:val="single" w:sz="8" w:color="auto"/>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2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2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1,359</w:t>
            </w:r>
          </w:p>
        </w:tc>
        <w:tc>
          <w:tcPr>
            <w:tcW w:w="2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4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service revenue</w:t>
            </w:r>
          </w:p>
        </w:tc>
        <w:tc>
          <w:tcPr>
            <w:tcW w:w="8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3,918</w:t>
            </w: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6,128</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9,399</w:t>
            </w: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10,985</w:t>
            </w:r>
          </w:p>
        </w:tc>
        <w:tc>
          <w:tcPr>
            <w:tcW w:w="120" w:type="dxa"/>
            <w:vAlign w:val="bottom"/>
          </w:tcPr>
          <w:p>
            <w:pPr>
              <w:spacing w:after="0"/>
              <w:rPr>
                <w:sz w:val="18"/>
                <w:szCs w:val="18"/>
                <w:color w:val="auto"/>
              </w:rPr>
            </w:pPr>
          </w:p>
        </w:tc>
      </w:tr>
      <w:tr>
        <w:trPr>
          <w:trHeight w:val="230"/>
        </w:trPr>
        <w:tc>
          <w:tcPr>
            <w:tcW w:w="41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revenues</w:t>
            </w:r>
          </w:p>
        </w:tc>
        <w:tc>
          <w:tcPr>
            <w:tcW w:w="840" w:type="dxa"/>
            <w:vAlign w:val="bottom"/>
            <w:shd w:val="clear" w:color="auto" w:fill="CFF0FC"/>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9,162</w:t>
            </w:r>
          </w:p>
        </w:tc>
        <w:tc>
          <w:tcPr>
            <w:tcW w:w="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29,733</w:t>
            </w:r>
          </w:p>
        </w:tc>
        <w:tc>
          <w:tcPr>
            <w:tcW w:w="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123,574</w:t>
            </w:r>
          </w:p>
        </w:tc>
        <w:tc>
          <w:tcPr>
            <w:tcW w:w="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140,104</w:t>
            </w:r>
          </w:p>
        </w:tc>
        <w:tc>
          <w:tcPr>
            <w:tcW w:w="120" w:type="dxa"/>
            <w:vAlign w:val="bottom"/>
            <w:shd w:val="clear" w:color="auto" w:fill="CFF0FC"/>
          </w:tcPr>
          <w:p>
            <w:pPr>
              <w:spacing w:after="0"/>
              <w:rPr>
                <w:sz w:val="19"/>
                <w:szCs w:val="19"/>
                <w:color w:val="auto"/>
              </w:rPr>
            </w:pPr>
          </w:p>
        </w:tc>
      </w:tr>
      <w:tr>
        <w:trPr>
          <w:trHeight w:val="20"/>
        </w:trPr>
        <w:tc>
          <w:tcPr>
            <w:tcW w:w="418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-873760</wp:posOffset>
            </wp:positionV>
            <wp:extent cx="6032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-873760</wp:posOffset>
            </wp:positionV>
            <wp:extent cx="6032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-873760</wp:posOffset>
            </wp:positionV>
            <wp:extent cx="6032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-873760</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-316230</wp:posOffset>
            </wp:positionV>
            <wp:extent cx="6032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-316230</wp:posOffset>
            </wp:positionV>
            <wp:extent cx="6032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-316230</wp:posOffset>
            </wp:positionV>
            <wp:extent cx="6032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-316230</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-24765</wp:posOffset>
            </wp:positionV>
            <wp:extent cx="6032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-7620</wp:posOffset>
            </wp:positionV>
            <wp:extent cx="6032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-24765</wp:posOffset>
            </wp:positionV>
            <wp:extent cx="6032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-7620</wp:posOffset>
            </wp:positionV>
            <wp:extent cx="6032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-24765</wp:posOffset>
            </wp:positionV>
            <wp:extent cx="6032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-7620</wp:posOffset>
            </wp:positionV>
            <wp:extent cx="6032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-24765</wp:posOffset>
            </wp:positionV>
            <wp:extent cx="6858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-7620</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Outstanding development milestone payments are evaluated each reporting period and are only included in the transaction price of each license to the extent the milestones are considered probable of achievement. Sales-based milestones are excluded from the transaction price of each license agreement and recognized as royalty revenue in the period of achievement. As of September 30, 2026, the Company’s license and collaboration agreements contained unachieved milestones which could result in aggregate milestone payments to the Company of up to $2.06 billion, including (i) $444.0 million upon the commencement of various stages of clinical trials, (ii) $86.5 million upon the submission of regulatory approval filings or upon regulatory approval of licensed products, and (iii) $1.53 billion upon the achievement of specified sales targets for licensed products, including milestones payable upon the first commercial sale of licensed products. To the extent the Company realizes the milestone payments, the Company may be obligated to pay sublicense fees to licensors based on a specified percentage of the fees earned by the Company. The achievement of these milestones is highly dependent on the successful development and commercialization of licensed products and it is at least reasonably possible that some or all of the milestone fees will not be realized by the Company.</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Accounts Receivable, Contract Assets and Deferred Revenue</w:t>
      </w:r>
    </w:p>
    <w:p>
      <w:pPr>
        <w:spacing w:after="0" w:line="119"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balances of the Company’s accounts receivable, contract assets and deferred revenue, as well as other information regarding revenue recognized, during the periods presented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20" w:type="dxa"/>
            <w:vAlign w:val="bottom"/>
            <w:gridSpan w:val="4"/>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52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554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474"/>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7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374"/>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r>
      <w:tr>
        <w:trPr>
          <w:trHeight w:val="209"/>
        </w:trPr>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 current and non-current:</w:t>
            </w: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Beginning of period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107,189</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21,783</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28,691</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20,947</w:t>
            </w:r>
          </w:p>
        </w:tc>
        <w:tc>
          <w:tcPr>
            <w:tcW w:w="120" w:type="dxa"/>
            <w:vAlign w:val="bottom"/>
          </w:tcPr>
          <w:p>
            <w:pPr>
              <w:spacing w:after="0"/>
              <w:rPr>
                <w:sz w:val="18"/>
                <w:szCs w:val="18"/>
                <w:color w:val="auto"/>
              </w:rPr>
            </w:pPr>
          </w:p>
        </w:tc>
      </w:tr>
      <w:tr>
        <w:trPr>
          <w:trHeight w:val="216"/>
        </w:trPr>
        <w:tc>
          <w:tcPr>
            <w:tcW w:w="55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End of period</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8,986</w:t>
            </w:r>
          </w:p>
        </w:tc>
        <w:tc>
          <w:tcPr>
            <w:tcW w:w="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28,112</w:t>
            </w:r>
          </w:p>
        </w:tc>
        <w:tc>
          <w:tcPr>
            <w:tcW w:w="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8,986</w:t>
            </w:r>
          </w:p>
        </w:tc>
        <w:tc>
          <w:tcPr>
            <w:tcW w:w="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28,112</w:t>
            </w:r>
          </w:p>
        </w:tc>
        <w:tc>
          <w:tcPr>
            <w:tcW w:w="120" w:type="dxa"/>
            <w:vAlign w:val="bottom"/>
            <w:shd w:val="clear" w:color="auto" w:fill="CFF0FC"/>
          </w:tcPr>
          <w:p>
            <w:pPr>
              <w:spacing w:after="0"/>
              <w:rPr>
                <w:sz w:val="18"/>
                <w:szCs w:val="18"/>
                <w:color w:val="auto"/>
              </w:rPr>
            </w:pPr>
          </w:p>
        </w:tc>
      </w:tr>
      <w:tr>
        <w:trPr>
          <w:trHeight w:val="216"/>
        </w:trPr>
        <w:tc>
          <w:tcPr>
            <w:tcW w:w="5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Contract assets (included in other current assets):</w:t>
            </w: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Beginning of period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20" w:type="dxa"/>
            <w:vAlign w:val="bottom"/>
          </w:tcPr>
          <w:p>
            <w:pPr>
              <w:spacing w:after="0"/>
              <w:rPr>
                <w:sz w:val="18"/>
                <w:szCs w:val="18"/>
                <w:color w:val="auto"/>
              </w:rPr>
            </w:pPr>
          </w:p>
        </w:tc>
      </w:tr>
      <w:tr>
        <w:trPr>
          <w:trHeight w:val="216"/>
        </w:trPr>
        <w:tc>
          <w:tcPr>
            <w:tcW w:w="55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End of period</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shd w:val="clear" w:color="auto" w:fill="CFF0FC"/>
          </w:tcPr>
          <w:p>
            <w:pPr>
              <w:spacing w:after="0"/>
              <w:rPr>
                <w:sz w:val="18"/>
                <w:szCs w:val="18"/>
                <w:color w:val="auto"/>
              </w:rPr>
            </w:pPr>
          </w:p>
        </w:tc>
      </w:tr>
      <w:tr>
        <w:trPr>
          <w:trHeight w:val="216"/>
        </w:trPr>
        <w:tc>
          <w:tcPr>
            <w:tcW w:w="5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revenue, current and non-current:</w:t>
            </w: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Beginning of period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25,286</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37,781</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29,395</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tcPr>
          <w:p>
            <w:pPr>
              <w:spacing w:after="0"/>
              <w:rPr>
                <w:sz w:val="18"/>
                <w:szCs w:val="18"/>
                <w:color w:val="auto"/>
              </w:rPr>
            </w:pPr>
          </w:p>
        </w:tc>
      </w:tr>
      <w:tr>
        <w:trPr>
          <w:trHeight w:val="216"/>
        </w:trPr>
        <w:tc>
          <w:tcPr>
            <w:tcW w:w="55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End of period</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22,206</w:t>
            </w:r>
          </w:p>
        </w:tc>
        <w:tc>
          <w:tcPr>
            <w:tcW w:w="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34,381</w:t>
            </w:r>
          </w:p>
        </w:tc>
        <w:tc>
          <w:tcPr>
            <w:tcW w:w="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22,206</w:t>
            </w:r>
          </w:p>
        </w:tc>
        <w:tc>
          <w:tcPr>
            <w:tcW w:w="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34,381</w:t>
            </w:r>
          </w:p>
        </w:tc>
        <w:tc>
          <w:tcPr>
            <w:tcW w:w="120" w:type="dxa"/>
            <w:vAlign w:val="bottom"/>
            <w:shd w:val="clear" w:color="auto" w:fill="CFF0FC"/>
          </w:tcPr>
          <w:p>
            <w:pPr>
              <w:spacing w:after="0"/>
              <w:rPr>
                <w:sz w:val="18"/>
                <w:szCs w:val="18"/>
                <w:color w:val="auto"/>
              </w:rPr>
            </w:pPr>
          </w:p>
        </w:tc>
      </w:tr>
      <w:tr>
        <w:trPr>
          <w:trHeight w:val="216"/>
        </w:trPr>
        <w:tc>
          <w:tcPr>
            <w:tcW w:w="5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 recognized during the period from:</w:t>
            </w: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Amounts included in deferred revenue at beginning of period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3,080</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3,401</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7,189</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tcPr>
          <w:p>
            <w:pPr>
              <w:spacing w:after="0"/>
              <w:rPr>
                <w:sz w:val="18"/>
                <w:szCs w:val="18"/>
                <w:color w:val="auto"/>
              </w:rPr>
            </w:pPr>
          </w:p>
        </w:tc>
      </w:tr>
      <w:tr>
        <w:trPr>
          <w:trHeight w:val="216"/>
        </w:trPr>
        <w:tc>
          <w:tcPr>
            <w:tcW w:w="55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Performance obligations satisfied in previous periods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6,189</w:t>
            </w:r>
          </w:p>
        </w:tc>
        <w:tc>
          <w:tcPr>
            <w:tcW w:w="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23,590</w:t>
            </w:r>
          </w:p>
        </w:tc>
        <w:tc>
          <w:tcPr>
            <w:tcW w:w="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116,998</w:t>
            </w:r>
          </w:p>
        </w:tc>
        <w:tc>
          <w:tcPr>
            <w:tcW w:w="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59,010</w:t>
            </w:r>
          </w:p>
        </w:tc>
        <w:tc>
          <w:tcPr>
            <w:tcW w:w="120" w:type="dxa"/>
            <w:vAlign w:val="bottom"/>
            <w:shd w:val="clear" w:color="auto" w:fill="CFF0FC"/>
          </w:tcPr>
          <w:p>
            <w:pPr>
              <w:spacing w:after="0"/>
              <w:rPr>
                <w:sz w:val="18"/>
                <w:szCs w:val="18"/>
                <w:color w:val="auto"/>
              </w:rPr>
            </w:pPr>
          </w:p>
        </w:tc>
      </w:tr>
    </w:tbl>
    <w:p>
      <w:pPr>
        <w:spacing w:after="0" w:line="238" w:lineRule="exact"/>
        <w:rPr>
          <w:sz w:val="20"/>
          <w:szCs w:val="20"/>
          <w:color w:val="auto"/>
        </w:rPr>
      </w:pPr>
    </w:p>
    <w:p>
      <w:pPr>
        <w:ind w:right="20" w:firstLine="509"/>
        <w:spacing w:after="0" w:line="272" w:lineRule="auto"/>
        <w:rPr>
          <w:sz w:val="20"/>
          <w:szCs w:val="20"/>
          <w:color w:val="auto"/>
        </w:rPr>
      </w:pPr>
      <w:r>
        <w:rPr>
          <w:rFonts w:ascii="Times New Roman" w:cs="Times New Roman" w:eastAsia="Times New Roman" w:hAnsi="Times New Roman"/>
          <w:sz w:val="17"/>
          <w:szCs w:val="17"/>
          <w:color w:val="auto"/>
        </w:rPr>
        <w:t>Revenue recognized from performance obligations satisfied in previous periods, as presented in the table above, was primarily attributable to Zolgensma and Itvisma royalties and changes in the transaction prices of the Company’s license agreements. Changes in transaction prices were primarily attributable to the achievement of development milestones, or the resolution of related uncertainties such that it became probable that a significant reversal of cumulative revenue would not occur if the development milestone consideration was included in the transaction price. These changes were recognized as cumulative catch-up adjustments to revenue. Revenue recognized during the nine months ended September 30, 2026 included $100.0 million in cumulative catch-up adjustments for changes in the probability of achievement of development milestones, which was associated with a $100.0 million development milestone achieved under the Company's collaboration and license agreement with AbbVie. No cumulative catch-up adjustments for development milestones were recorded in revenue during the three months ended September 30, 2026 or during the three and nine months ended September 30, 2025.</w:t>
      </w:r>
    </w:p>
    <w:p>
      <w:pPr>
        <w:spacing w:after="0" w:line="172"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As of September 30, 2026, the Company had recorded deferred revenue of $22.2 million which represents consideration received or unconditionally due from licensees and collaboration partners for performance obligations that have not yet been satisfied by the Company. Unsatisfied performance obligations as of September 30, 2026 consisted of (i) development services to be performed related to licensed products, which will be satisfied as the services are performed, and (ii) material rights granted to purchase commercial supply of licensed products, which will be satisfied upon delivery of the commercial supply. As of September 30, 2026, the aggregate transaction price of the Company’s license and collaboration agreements allocated to performance obligations not yet satisfied or partially satisfied was $23.3 million, primarily associated with development services under the Company's collaboration and license agreement with Nippon Shinyaku, the substantial majority of which is expected to be satisfied over a period of approximately four years.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Accounts receivable consisted of the following (in thousands):</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40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09"/>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accounts receivable:</w:t>
            </w:r>
          </w:p>
        </w:tc>
        <w:tc>
          <w:tcPr>
            <w:tcW w:w="142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58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4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Billed to customers</w:t>
            </w: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80" w:type="dxa"/>
            <w:vAlign w:val="bottom"/>
          </w:tcPr>
          <w:p>
            <w:pPr>
              <w:spacing w:after="0"/>
              <w:rPr>
                <w:sz w:val="18"/>
                <w:szCs w:val="18"/>
                <w:color w:val="auto"/>
              </w:rPr>
            </w:pPr>
          </w:p>
        </w:tc>
      </w:tr>
      <w:tr>
        <w:trPr>
          <w:trHeight w:val="216"/>
        </w:trPr>
        <w:tc>
          <w:tcPr>
            <w:tcW w:w="40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Unbilled Novartis royalties</w:t>
            </w:r>
          </w:p>
        </w:tc>
        <w:tc>
          <w:tcPr>
            <w:tcW w:w="1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5,244</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23,806</w:t>
            </w:r>
          </w:p>
        </w:tc>
        <w:tc>
          <w:tcPr>
            <w:tcW w:w="80" w:type="dxa"/>
            <w:vAlign w:val="bottom"/>
            <w:shd w:val="clear" w:color="auto" w:fill="CFF0FC"/>
          </w:tcPr>
          <w:p>
            <w:pPr>
              <w:spacing w:after="0"/>
              <w:rPr>
                <w:sz w:val="18"/>
                <w:szCs w:val="18"/>
                <w:color w:val="auto"/>
              </w:rPr>
            </w:pPr>
          </w:p>
        </w:tc>
      </w:tr>
      <w:tr>
        <w:trPr>
          <w:trHeight w:val="216"/>
        </w:trPr>
        <w:tc>
          <w:tcPr>
            <w:tcW w:w="4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Unbilled Nippon Shinyaku services</w:t>
            </w: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1,997</w:t>
            </w:r>
          </w:p>
        </w:tc>
        <w:tc>
          <w:tcPr>
            <w:tcW w:w="80" w:type="dxa"/>
            <w:vAlign w:val="bottom"/>
          </w:tcPr>
          <w:p>
            <w:pPr>
              <w:spacing w:after="0"/>
              <w:rPr>
                <w:sz w:val="18"/>
                <w:szCs w:val="18"/>
                <w:color w:val="auto"/>
              </w:rPr>
            </w:pPr>
          </w:p>
        </w:tc>
      </w:tr>
      <w:tr>
        <w:trPr>
          <w:trHeight w:val="216"/>
        </w:trPr>
        <w:tc>
          <w:tcPr>
            <w:tcW w:w="40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Other unbilled</w:t>
            </w:r>
          </w:p>
        </w:tc>
        <w:tc>
          <w:tcPr>
            <w:tcW w:w="14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9"/>
        </w:trPr>
        <w:tc>
          <w:tcPr>
            <w:tcW w:w="4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accounts receivable</w:t>
            </w: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26,379</w:t>
            </w:r>
          </w:p>
        </w:tc>
        <w:tc>
          <w:tcPr>
            <w:tcW w:w="80" w:type="dxa"/>
            <w:vAlign w:val="bottom"/>
          </w:tcPr>
          <w:p>
            <w:pPr>
              <w:spacing w:after="0"/>
              <w:rPr>
                <w:sz w:val="18"/>
                <w:szCs w:val="18"/>
                <w:color w:val="auto"/>
              </w:rPr>
            </w:pPr>
          </w:p>
        </w:tc>
      </w:tr>
      <w:tr>
        <w:trPr>
          <w:trHeight w:val="216"/>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Non-current accounts receivable:</w:t>
            </w:r>
          </w:p>
        </w:tc>
        <w:tc>
          <w:tcPr>
            <w:tcW w:w="1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4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Unbilled Nippon Shinyaku services</w:t>
            </w: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1,858</w:t>
            </w:r>
          </w:p>
        </w:tc>
        <w:tc>
          <w:tcPr>
            <w:tcW w:w="80" w:type="dxa"/>
            <w:vAlign w:val="bottom"/>
          </w:tcPr>
          <w:p>
            <w:pPr>
              <w:spacing w:after="0"/>
              <w:rPr>
                <w:sz w:val="18"/>
                <w:szCs w:val="18"/>
                <w:color w:val="auto"/>
              </w:rPr>
            </w:pPr>
          </w:p>
        </w:tc>
      </w:tr>
      <w:tr>
        <w:trPr>
          <w:trHeight w:val="216"/>
        </w:trPr>
        <w:tc>
          <w:tcPr>
            <w:tcW w:w="40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Other unbilled</w:t>
            </w:r>
          </w:p>
        </w:tc>
        <w:tc>
          <w:tcPr>
            <w:tcW w:w="142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8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80" w:type="dxa"/>
            <w:vAlign w:val="bottom"/>
            <w:shd w:val="clear" w:color="auto" w:fill="CFF0FC"/>
          </w:tcPr>
          <w:p>
            <w:pPr>
              <w:spacing w:after="0"/>
              <w:rPr>
                <w:sz w:val="18"/>
                <w:szCs w:val="18"/>
                <w:color w:val="auto"/>
              </w:rPr>
            </w:pPr>
          </w:p>
        </w:tc>
      </w:tr>
      <w:tr>
        <w:trPr>
          <w:trHeight w:val="209"/>
        </w:trPr>
        <w:tc>
          <w:tcPr>
            <w:tcW w:w="4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Non-current accounts receivable</w:t>
            </w:r>
          </w:p>
        </w:tc>
        <w:tc>
          <w:tcPr>
            <w:tcW w:w="14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2,312</w:t>
            </w:r>
          </w:p>
        </w:tc>
        <w:tc>
          <w:tcPr>
            <w:tcW w:w="80" w:type="dxa"/>
            <w:vAlign w:val="bottom"/>
          </w:tcPr>
          <w:p>
            <w:pPr>
              <w:spacing w:after="0"/>
              <w:rPr>
                <w:sz w:val="18"/>
                <w:szCs w:val="18"/>
                <w:color w:val="auto"/>
              </w:rPr>
            </w:pPr>
          </w:p>
        </w:tc>
      </w:tr>
      <w:tr>
        <w:trPr>
          <w:trHeight w:val="230"/>
        </w:trPr>
        <w:tc>
          <w:tcPr>
            <w:tcW w:w="4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accounts receivable</w:t>
            </w:r>
          </w:p>
        </w:tc>
        <w:tc>
          <w:tcPr>
            <w:tcW w:w="15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8,986</w:t>
            </w:r>
          </w:p>
        </w:tc>
        <w:tc>
          <w:tcPr>
            <w:tcW w:w="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28,691</w:t>
            </w:r>
          </w:p>
        </w:tc>
        <w:tc>
          <w:tcPr>
            <w:tcW w:w="80" w:type="dxa"/>
            <w:vAlign w:val="bottom"/>
            <w:shd w:val="clear" w:color="auto" w:fill="CFF0FC"/>
          </w:tcPr>
          <w:p>
            <w:pPr>
              <w:spacing w:after="0"/>
              <w:rPr>
                <w:sz w:val="19"/>
                <w:szCs w:val="19"/>
                <w:color w:val="auto"/>
              </w:rPr>
            </w:pPr>
          </w:p>
        </w:tc>
      </w:tr>
      <w:tr>
        <w:trPr>
          <w:trHeight w:val="20"/>
        </w:trPr>
        <w:tc>
          <w:tcPr>
            <w:tcW w:w="4080" w:type="dxa"/>
            <w:vAlign w:val="bottom"/>
            <w:tcBorders>
              <w:top w:val="single" w:sz="8" w:color="CFF0FC"/>
            </w:tcBorders>
            <w:shd w:val="clear" w:color="auto" w:fill="CFF0FC"/>
          </w:tcPr>
          <w:p>
            <w:pPr>
              <w:spacing w:after="0" w:line="20" w:lineRule="exact"/>
              <w:rPr>
                <w:sz w:val="1"/>
                <w:szCs w:val="1"/>
                <w:color w:val="auto"/>
              </w:rPr>
            </w:pPr>
          </w:p>
        </w:tc>
        <w:tc>
          <w:tcPr>
            <w:tcW w:w="14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5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5320030</wp:posOffset>
            </wp:positionH>
            <wp:positionV relativeFrom="paragraph">
              <wp:posOffset>-873760</wp:posOffset>
            </wp:positionV>
            <wp:extent cx="5143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-873760</wp:posOffset>
            </wp:positionV>
            <wp:extent cx="5143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5307330</wp:posOffset>
            </wp:positionH>
            <wp:positionV relativeFrom="paragraph">
              <wp:posOffset>-328930</wp:posOffset>
            </wp:positionV>
            <wp:extent cx="76835" cy="17970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6361430</wp:posOffset>
            </wp:positionH>
            <wp:positionV relativeFrom="paragraph">
              <wp:posOffset>-328930</wp:posOffset>
            </wp:positionV>
            <wp:extent cx="76835" cy="17970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-24765</wp:posOffset>
            </wp:positionV>
            <wp:extent cx="5143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-7620</wp:posOffset>
            </wp:positionV>
            <wp:extent cx="5143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Zolgensma and Itvisma License with Novartis</w:t>
      </w:r>
    </w:p>
    <w:p>
      <w:pPr>
        <w:spacing w:after="0" w:line="119" w:lineRule="exact"/>
        <w:rPr>
          <w:sz w:val="20"/>
          <w:szCs w:val="20"/>
          <w:color w:val="auto"/>
        </w:rPr>
      </w:pPr>
    </w:p>
    <w:p>
      <w:pPr>
        <w:ind w:right="300" w:firstLine="509"/>
        <w:spacing w:after="0" w:line="255" w:lineRule="auto"/>
        <w:rPr>
          <w:sz w:val="20"/>
          <w:szCs w:val="20"/>
          <w:color w:val="auto"/>
        </w:rPr>
      </w:pPr>
      <w:r>
        <w:rPr>
          <w:rFonts w:ascii="Times New Roman" w:cs="Times New Roman" w:eastAsia="Times New Roman" w:hAnsi="Times New Roman"/>
          <w:sz w:val="18"/>
          <w:szCs w:val="18"/>
          <w:color w:val="auto"/>
        </w:rPr>
        <w:t xml:space="preserve">In March 2014, the Company entered into an exclusive license agreement (as amended, the Novartis License) with Novartis Innovative Technologies Inc. (formerly, Novartis Gene Therapies, Inc.), a wholly owned subsidiary of Novartis AG (Novartis). Under the Novartis License, the Company granted Novartis an exclusive, worldwide commercial license, with rights to sublicense, to the NAV Technology Platform, as well as other certain rights, for the treatment of spinal muscular atrophy (SMA) in humans by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gene therapy. In 2019, Novartis launched commercial sales of Zolgensma for the treatment of SMA in patients under the age of two years old. In the fourth quarter of 2025, Novartis launched commercial sales of Itvisma for the treatment of SMA in patients two years and older. Zolgensma and Itvisma are licensed products under the Novartis License, pursuant to which the Company receives royalties on certain net sales of the licensed products.</w:t>
      </w:r>
    </w:p>
    <w:p>
      <w:pPr>
        <w:spacing w:after="0" w:line="189"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In January 2026, licensed patents for Zolgensma under the Novartis License expired in the United States. The Company is entitled to continued royalties on net sales of Zolgensma in approximately 20 countries where licensed patents remain active. Licensed product made prior to patent expiration but sold after expiration may also be subject to royalties. Licensed patents covering the use of Itvisma have issued in the United States and certain other countries, and the Company is entitled to ongoing royalties on certain net sales of Itvisma in these territories.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recognized the following amounts under the Novartis License (in thousands):</w:t>
      </w:r>
    </w:p>
    <w:p>
      <w:pPr>
        <w:spacing w:after="0" w:line="219"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4180" w:type="dxa"/>
            <w:vAlign w:val="bottom"/>
          </w:tcPr>
          <w:p>
            <w:pPr>
              <w:spacing w:after="0"/>
              <w:rPr>
                <w:sz w:val="15"/>
                <w:szCs w:val="15"/>
                <w:color w:val="auto"/>
              </w:rPr>
            </w:pPr>
          </w:p>
        </w:tc>
        <w:tc>
          <w:tcPr>
            <w:tcW w:w="2800" w:type="dxa"/>
            <w:vAlign w:val="bottom"/>
            <w:gridSpan w:val="5"/>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72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418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6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3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436"/>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3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r>
      <w:tr>
        <w:trPr>
          <w:trHeight w:val="210"/>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Zolgensma royalties</w:t>
            </w:r>
          </w:p>
        </w:tc>
        <w:tc>
          <w:tcPr>
            <w:tcW w:w="840" w:type="dxa"/>
            <w:vAlign w:val="bottom"/>
            <w:shd w:val="clear" w:color="auto" w:fill="CFF0FC"/>
          </w:tcPr>
          <w:p>
            <w:pPr>
              <w:jc w:val="right"/>
              <w:ind w:right="657"/>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2,431</w:t>
            </w:r>
          </w:p>
        </w:tc>
        <w:tc>
          <w:tcPr>
            <w:tcW w:w="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23,586</w:t>
            </w:r>
          </w:p>
        </w:tc>
        <w:tc>
          <w:tcPr>
            <w:tcW w:w="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8,933</w:t>
            </w:r>
          </w:p>
        </w:tc>
        <w:tc>
          <w:tcPr>
            <w:tcW w:w="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59,002</w:t>
            </w:r>
          </w:p>
        </w:tc>
        <w:tc>
          <w:tcPr>
            <w:tcW w:w="120" w:type="dxa"/>
            <w:vAlign w:val="bottom"/>
            <w:shd w:val="clear" w:color="auto" w:fill="CFF0FC"/>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Itvisma royalties</w:t>
            </w:r>
          </w:p>
        </w:tc>
        <w:tc>
          <w:tcPr>
            <w:tcW w:w="8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2,813</w:t>
            </w: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5,204</w:t>
            </w: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r>
      <w:tr>
        <w:trPr>
          <w:trHeight w:val="250"/>
        </w:trPr>
        <w:tc>
          <w:tcPr>
            <w:tcW w:w="41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license and royalty revenue</w:t>
            </w:r>
          </w:p>
        </w:tc>
        <w:tc>
          <w:tcPr>
            <w:tcW w:w="840" w:type="dxa"/>
            <w:vAlign w:val="bottom"/>
            <w:shd w:val="clear" w:color="auto" w:fill="CFF0FC"/>
          </w:tcPr>
          <w:p>
            <w:pPr>
              <w:jc w:val="right"/>
              <w:ind w:right="657"/>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5,244</w:t>
            </w:r>
          </w:p>
        </w:tc>
        <w:tc>
          <w:tcPr>
            <w:tcW w:w="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23,586</w:t>
            </w:r>
          </w:p>
        </w:tc>
        <w:tc>
          <w:tcPr>
            <w:tcW w:w="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14,137</w:t>
            </w:r>
          </w:p>
        </w:tc>
        <w:tc>
          <w:tcPr>
            <w:tcW w:w="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59,002</w:t>
            </w:r>
          </w:p>
        </w:tc>
        <w:tc>
          <w:tcPr>
            <w:tcW w:w="120" w:type="dxa"/>
            <w:vAlign w:val="bottom"/>
            <w:shd w:val="clear" w:color="auto" w:fill="CFF0FC"/>
          </w:tcPr>
          <w:p>
            <w:pPr>
              <w:spacing w:after="0"/>
              <w:rPr>
                <w:sz w:val="21"/>
                <w:szCs w:val="21"/>
                <w:color w:val="auto"/>
              </w:rPr>
            </w:pPr>
          </w:p>
        </w:tc>
      </w:tr>
      <w:tr>
        <w:trPr>
          <w:trHeight w:val="197"/>
        </w:trPr>
        <w:tc>
          <w:tcPr>
            <w:tcW w:w="4180" w:type="dxa"/>
            <w:vAlign w:val="bottom"/>
            <w:tcBorders>
              <w:top w:val="single" w:sz="8" w:color="CFF0FC"/>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r>
      <w:tr>
        <w:trPr>
          <w:trHeight w:val="236"/>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 from licensing</w:t>
            </w:r>
          </w:p>
        </w:tc>
        <w:tc>
          <w:tcPr>
            <w:tcW w:w="840" w:type="dxa"/>
            <w:vAlign w:val="bottom"/>
            <w:shd w:val="clear" w:color="auto" w:fill="CFF0FC"/>
          </w:tcPr>
          <w:p>
            <w:pPr>
              <w:jc w:val="right"/>
              <w:ind w:right="657"/>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FF0FC"/>
          </w:tcPr>
          <w:p>
            <w:pPr>
              <w:spacing w:after="0"/>
              <w:rPr>
                <w:sz w:val="20"/>
                <w:szCs w:val="20"/>
                <w:color w:val="auto"/>
              </w:rPr>
            </w:pPr>
          </w:p>
        </w:tc>
      </w:tr>
      <w:tr>
        <w:trPr>
          <w:trHeight w:val="20"/>
        </w:trPr>
        <w:tc>
          <w:tcPr>
            <w:tcW w:w="418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-325120</wp:posOffset>
            </wp:positionV>
            <wp:extent cx="6032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-307975</wp:posOffset>
            </wp:positionV>
            <wp:extent cx="6032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-325120</wp:posOffset>
            </wp:positionV>
            <wp:extent cx="6032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-307975</wp:posOffset>
            </wp:positionV>
            <wp:extent cx="6032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-325120</wp:posOffset>
            </wp:positionV>
            <wp:extent cx="60325"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-307975</wp:posOffset>
            </wp:positionV>
            <wp:extent cx="6032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-325120</wp:posOffset>
            </wp:positionV>
            <wp:extent cx="6858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-307975</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-24765</wp:posOffset>
            </wp:positionV>
            <wp:extent cx="6032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-7620</wp:posOffset>
            </wp:positionV>
            <wp:extent cx="6032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-24765</wp:posOffset>
            </wp:positionV>
            <wp:extent cx="6032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-7620</wp:posOffset>
            </wp:positionV>
            <wp:extent cx="6032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-24765</wp:posOffset>
            </wp:positionV>
            <wp:extent cx="6032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-7620</wp:posOffset>
            </wp:positionV>
            <wp:extent cx="6032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-24765</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-7620</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As of September 30, 2026 and December 31, 2025, the Company had recorded total accounts receivable of $5.5 million and $24.1 million, respectively, from Novartis under the Novartis License, which consisted primarily of Zolgensma and Itvisma royalties receivable. Royalties receivable as of September 30, 2026 included $4.2 million expected to be paid to HCR in accordance with the 2020 Royalty Purchase Agreement discussed in Note 7. The Company recognizes royalty revenue from net sales of Zolgensma and Itvisma in the period in which the underlying products are sold by Novartis, which in certain cases may require the Company to estimate royalty revenue for periods of net sales which have not yet been reported to the Company. Estimated royalties are reconciled to actual amounts reported in subsequent periods, and any differences are recognized as an adjustment to royalty revenue in the period the royalties are reported.</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Collaboration Agreements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AbbVie Collaboration and License Agreement</w:t>
      </w:r>
    </w:p>
    <w:p>
      <w:pPr>
        <w:spacing w:after="0" w:line="119"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In September 2021, the Company entered into a collaboration and license agreement with AbbVie to jointly develop and commercialize sura-vec (or ABBV-RGX-314), the Company’s product candidate for the treatment of wet AMD, DR and other chronic retinal diseases (as amended, the AbbVie Collaboration Agreement). The AbbVie Collaboration Agreement became effective in November 2021.</w:t>
      </w:r>
    </w:p>
    <w:p>
      <w:pPr>
        <w:spacing w:after="0" w:line="176"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Pursuant to the AbbVie Collaboration Agreement, the Company granted AbbVie a co-exclusive license to develop and commercialize sura-vec in the United States and an exclusive license to develop and commercialize sura-vec outside the United States. The Company and AbbVie will collaborate to develop sura-vec in the United States, and AbbVie will be responsible for the development of sura-vec in specified markets outside the United States. Global development expenses for sura-vec are shared by the parties in accordance with the AbbVie Collaboration Agreement, with AbbVie being responsible for the majority of total development expenses.</w:t>
      </w:r>
    </w:p>
    <w:p>
      <w:pPr>
        <w:spacing w:after="0" w:line="183"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 Company will lead the manufacturing of sura-vec for clinical development and U.S. commercial supply, and AbbVie will lead the manufacturing of sura-vec for commercial supply outside the United States. Manufacturing expenses will be allocated between the parties in accordance with the terms of the AbbVie Collaboration Agreement and mutually agreed supply agreements. If requested by AbbVie, the Company will manufacture up to a specified portion of sura-vec commercial supply for sales outside the United States at a price specified in the agreement. AbbVie will lead the commercialization of sura-vec globally, and the Company will participate in U.S. commercialization efforts as provided under a commercialization plan determined in accordance with the agreement. The Company and AbbVie will share equally in the net profits and net losses associated with the commercialization of sura-vec in the United States. Outside the United States, AbbVie will be responsible, at its sole cost, for the commercialization of sura-vec.</w:t>
      </w:r>
    </w:p>
    <w:p>
      <w:pPr>
        <w:spacing w:after="0" w:line="192" w:lineRule="exact"/>
        <w:rPr>
          <w:sz w:val="20"/>
          <w:szCs w:val="20"/>
          <w:color w:val="auto"/>
        </w:rPr>
      </w:pPr>
    </w:p>
    <w:p>
      <w:pPr>
        <w:ind w:right="260" w:firstLine="509"/>
        <w:spacing w:after="0" w:line="258" w:lineRule="auto"/>
        <w:rPr>
          <w:sz w:val="20"/>
          <w:szCs w:val="20"/>
          <w:color w:val="auto"/>
        </w:rPr>
      </w:pPr>
      <w:r>
        <w:rPr>
          <w:rFonts w:ascii="Times New Roman" w:cs="Times New Roman" w:eastAsia="Times New Roman" w:hAnsi="Times New Roman"/>
          <w:sz w:val="18"/>
          <w:szCs w:val="18"/>
          <w:color w:val="auto"/>
        </w:rPr>
        <w:t>In consideration for the rights granted under the AbbVie Collaboration Agreement, AbbVie paid the Company an up-front fee of $370.0 million upon the effective date of the agreement in November 2021 and is required to pay to the Company up to $1.38 billion upon the achievement of specified development and sales-based milestones, of which $562.5 million are based on development milestones and $820.0 million are sales-based milestones. AbbVie is also required to pay to the Company tiered royalties on net sales of sura-vec outside the United States at percentages in the mid-teens to low twenties, subject to specified offsets and reductions.</w:t>
      </w:r>
    </w:p>
    <w:p>
      <w:pPr>
        <w:spacing w:after="0" w:line="183"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August 2025, the Company and AbbVie entered into an amendment to the AbbVie Collaboration Agreement which modified the development plan and milestone payment structure for the sura-vec DR program. Under the amendment, the Company will conduct the first registration enabling trial for DR suprachoroidal (SCS) treatment as a combined Phase IIb/III trial (NAAVIGATE) which will be performed in two parts (Part 1 and Part 2), and AbbVie will conduct the second registration enabling trial as a separate, standalone Phase III trial. In lieu of a $200.0 million development milestone payable to the Company under the original AbbVie Collaboration Agreement upon first patient dosed in the first registration enabling trial for DR SCS treatment, AbbVie will pay the Company $100.0 million upon first patient dosed in the NAAVIGATE trial (the First DR Milestone) and an additional $100.0 million upon first patient dosed in the subsequent Phase III trial (the Second DR Milestone). Also pursuant to the amendment, AbbVie will lead a new Phase III randomized controlled study (ACHIEVE) to assess the injection burden, adverse events, change in disease activity, and long-term preservation of visual acuity of sura-vec in adult participants with neovascular AMD. The Company will be responsible for its development expenses to conduct Part 1 of the NAAVIGATE trial and the parties will share the development expenses related to Part 2 of the NAAVIGATE trial and the subsequent Phase III trial for DR in accordance with the existing terms of the AbbVie Collaboration Agreement. AbbVie will be responsible for all development expenses related to the ACHIEVE study.</w:t>
      </w:r>
    </w:p>
    <w:p>
      <w:pPr>
        <w:spacing w:after="0" w:line="190"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In June 2026, the Company dosed the first patient in the NAAVIGATE trial, resulting in a $100.0 million milestone payment from AbbVie for achievement of the First DR Milestone.</w:t>
      </w:r>
    </w:p>
    <w:p>
      <w:pPr>
        <w:spacing w:after="0" w:line="160"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 xml:space="preserve">The Company applied the requirements of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to the AbbVie Collaboration Agreement for the units of account in which AbbVie was deemed to be a customer. The Company determined that there is only one material performance obligation under the agreement for the delivery of the intellectual property license to develop and commercialize sura-vec globally. The intellectual property licensed to AbbVie includes the rights to certain patents, data, know-how and other rights developed and owned by the Company, as well as other intellectual property rights exclusively licensed by the Company from various third parties. As of September 30, 2026, the transaction price of the AbbVie Collaboration Agreement was $470.0 million, which consisted of (i) the $370.0 million up-front payment received from AbbVie in November 2021 and (ii) the $100.0 million development milestone payment earned upon achievement of the First DR Milestone in June 2026 and received from AbbVie in July 2026. As of September 30, 2026, variable consideration excluded from the transaction price of the AbbVie Collaboration Agreement includes $462.5 million in payments for development milestones that have not yet been achieved and were</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2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not considered probable of achievement. Additionally, the transaction price excludes sales-based milestone payments of $820.0 million and royalties on net sales of sura-vec outside the United States. Development milestones will be added to the transaction price and recognized as revenue upon achievement, or if deemed probable of achievement. In accordance with the sale- or usage-based royalty exception under ASC 606, royalties on net sales and sales-based milestones will be recognized as revenue in the period the underlying sales occur or milestones are achieved. The $470.0 million transaction price of the AbbVie Collaboration Agreement has been fully recognized as license and royalty revenue since the intellectual property licenses were delivered to AbbVie at the inception of the agreement in November 2021. The transaction price of the AbbVie Collaboration Agreement increased by $100.0 million during the nine months ended September 30, 2026 as a result of the achievement of the First DR Milestone in June 2026, as the milestone payment was previously constrained and excluded from the transaction price. The $100.0 million increase in the transaction price was fully recognized as a cumulative catch-up adjustment to revenue upon the achievement of the First DR Milestone in June 2026. There were no changes in the transaction price of the AbbVie Collaboration Agreement, and no revenue was recognized, during the three months ended September 30, 2026 or the three and nine months ended September 30, 2025.</w:t>
      </w:r>
    </w:p>
    <w:p>
      <w:pPr>
        <w:spacing w:after="0" w:line="190"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 xml:space="preserve">The Company applied the requirements of ASC 808, </w:t>
      </w:r>
      <w:r>
        <w:rPr>
          <w:rFonts w:ascii="Times New Roman" w:cs="Times New Roman" w:eastAsia="Times New Roman" w:hAnsi="Times New Roman"/>
          <w:sz w:val="18"/>
          <w:szCs w:val="18"/>
          <w:i w:val="1"/>
          <w:iCs w:val="1"/>
          <w:color w:val="auto"/>
        </w:rPr>
        <w:t>Collaborative Arrangements</w:t>
      </w:r>
      <w:r>
        <w:rPr>
          <w:rFonts w:ascii="Times New Roman" w:cs="Times New Roman" w:eastAsia="Times New Roman" w:hAnsi="Times New Roman"/>
          <w:sz w:val="18"/>
          <w:szCs w:val="18"/>
          <w:color w:val="auto"/>
        </w:rPr>
        <w:t xml:space="preserve"> (ASC 808) to the AbbVie Collaboration Agreement for the units of account which were deemed to be a collaborative arrangement. Both the Company and AbbVie will perform various activities related to the development, manufacturing and commercialization of sura-vec in the United States. Development costs are shared between the parties in accordance with the terms of the AbbVie Collaboration Agreement, and the parties will share equally in the net profits and losses derived from sales of sura-vec in the United States. The Company accounts for payments to and from AbbVie for the sharing of development and commercialization costs in accordance with its accounting policy for collaborative arrangements. Amounts owed to AbbVie for the Company’s share of development costs or commercialization costs incurred by AbbVie are recorded as research and development expense or general and administrative expense, respectively, in the period the costs are incurred. Amounts owed to the Company for AbbVie’s share of development costs or commercialization costs incurred by the Company are recorded as a reduction of research and development expense or general and administrative expense, respectively, in the period the costs are incurred. At the end of each reporting period, the Company records a net amount due to or from AbbVie as a result of the cost-sharing arrangement. As of September 30, 2026 and December 31, 2025, the Company had recorded $7.5 million and $10.9 million, respectively, due from AbbVie for net reimbursement of costs incurred for activities performed under the AbbVie Collaboration Agreement, which was included in other current assets on the consolidated balance sheets.</w:t>
      </w:r>
    </w:p>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recognized the following amounts under the AbbVie Collaboration Agreement (in thousands):</w:t>
      </w:r>
    </w:p>
    <w:p>
      <w:pPr>
        <w:spacing w:after="0" w:line="219"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4180" w:type="dxa"/>
            <w:vAlign w:val="bottom"/>
          </w:tcPr>
          <w:p>
            <w:pPr>
              <w:spacing w:after="0"/>
              <w:rPr>
                <w:sz w:val="15"/>
                <w:szCs w:val="15"/>
                <w:color w:val="auto"/>
              </w:rPr>
            </w:pPr>
          </w:p>
        </w:tc>
        <w:tc>
          <w:tcPr>
            <w:tcW w:w="3000" w:type="dxa"/>
            <w:vAlign w:val="bottom"/>
            <w:gridSpan w:val="7"/>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00" w:type="dxa"/>
            <w:vAlign w:val="bottom"/>
          </w:tcPr>
          <w:p>
            <w:pPr>
              <w:spacing w:after="0"/>
              <w:rPr>
                <w:sz w:val="15"/>
                <w:szCs w:val="15"/>
                <w:color w:val="auto"/>
              </w:rPr>
            </w:pPr>
          </w:p>
        </w:tc>
        <w:tc>
          <w:tcPr>
            <w:tcW w:w="2720" w:type="dxa"/>
            <w:vAlign w:val="bottom"/>
            <w:gridSpan w:val="6"/>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418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0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3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436"/>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3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r>
      <w:tr>
        <w:trPr>
          <w:trHeight w:val="250"/>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License and royalty revenue</w:t>
            </w:r>
          </w:p>
        </w:tc>
        <w:tc>
          <w:tcPr>
            <w:tcW w:w="800" w:type="dxa"/>
            <w:vAlign w:val="bottom"/>
            <w:shd w:val="clear" w:color="auto" w:fill="CFF0FC"/>
          </w:tcPr>
          <w:p>
            <w:pPr>
              <w:jc w:val="right"/>
              <w:ind w:right="617"/>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20" w:type="dxa"/>
            <w:vAlign w:val="bottom"/>
            <w:shd w:val="clear" w:color="auto" w:fill="CFF0FC"/>
          </w:tcPr>
          <w:p>
            <w:pPr>
              <w:spacing w:after="0"/>
              <w:rPr>
                <w:sz w:val="21"/>
                <w:szCs w:val="21"/>
                <w:color w:val="auto"/>
              </w:rPr>
            </w:pPr>
          </w:p>
        </w:tc>
        <w:tc>
          <w:tcPr>
            <w:tcW w:w="3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96"/>
        </w:trPr>
        <w:tc>
          <w:tcPr>
            <w:tcW w:w="4180" w:type="dxa"/>
            <w:vAlign w:val="bottom"/>
            <w:tcBorders>
              <w:top w:val="single" w:sz="8" w:color="CFF0FC"/>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r>
      <w:tr>
        <w:trPr>
          <w:trHeight w:val="216"/>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cost reimbursement to (from) AbbVie included in:</w:t>
            </w:r>
          </w:p>
        </w:tc>
        <w:tc>
          <w:tcPr>
            <w:tcW w:w="8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4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800" w:type="dxa"/>
            <w:vAlign w:val="bottom"/>
          </w:tcPr>
          <w:p>
            <w:pPr>
              <w:jc w:val="right"/>
              <w:ind w:right="617"/>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(9,336)</w:t>
            </w: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(17,742)</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(34,022)</w:t>
            </w: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(49,479)</w:t>
            </w:r>
          </w:p>
        </w:tc>
      </w:tr>
      <w:tr>
        <w:trPr>
          <w:trHeight w:val="216"/>
        </w:trPr>
        <w:tc>
          <w:tcPr>
            <w:tcW w:w="418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800" w:type="dxa"/>
            <w:vAlign w:val="bottom"/>
            <w:tcBorders>
              <w:bottom w:val="single" w:sz="8" w:color="auto"/>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1,911</w:t>
            </w: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2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3,662</w:t>
            </w: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1,860</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4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net cost reimbursement to (from) AbbVie</w:t>
            </w:r>
          </w:p>
        </w:tc>
        <w:tc>
          <w:tcPr>
            <w:tcW w:w="800" w:type="dxa"/>
            <w:vAlign w:val="bottom"/>
          </w:tcPr>
          <w:p>
            <w:pPr>
              <w:jc w:val="right"/>
              <w:ind w:right="617"/>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(7,425)</w:t>
            </w: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(17,030)</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(30,360)</w:t>
            </w: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(47,619)</w:t>
            </w:r>
          </w:p>
        </w:tc>
      </w:tr>
      <w:tr>
        <w:trPr>
          <w:trHeight w:val="20"/>
        </w:trPr>
        <w:tc>
          <w:tcPr>
            <w:tcW w:w="41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-744855</wp:posOffset>
            </wp:positionV>
            <wp:extent cx="6032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-728345</wp:posOffset>
            </wp:positionV>
            <wp:extent cx="6032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-744855</wp:posOffset>
            </wp:positionV>
            <wp:extent cx="6032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-728345</wp:posOffset>
            </wp:positionV>
            <wp:extent cx="6032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-744855</wp:posOffset>
            </wp:positionV>
            <wp:extent cx="6032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-728345</wp:posOffset>
            </wp:positionV>
            <wp:extent cx="6032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-744855</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-728345</wp:posOffset>
            </wp:positionV>
            <wp:extent cx="6858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-170815</wp:posOffset>
            </wp:positionV>
            <wp:extent cx="60325"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-170815</wp:posOffset>
            </wp:positionV>
            <wp:extent cx="60325"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-170815</wp:posOffset>
            </wp:positionV>
            <wp:extent cx="60325"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-170815</wp:posOffset>
            </wp:positionV>
            <wp:extent cx="6858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Nippon Shinyaku Collaboration and License Agreement</w:t>
      </w:r>
    </w:p>
    <w:p>
      <w:pPr>
        <w:spacing w:after="0" w:line="119"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In January 2025, the Company entered into a collaboration and license agreement with Nippon Shinyaku for the development and commercialization of RGX-121, the Company’s product candidate for the treatment of MPS II, and RGX-111, the Company's product candidate for the treatment of MPS I (the Nippon Shinyaku Collaboration Agreement). The Nippon Shinyaku Collaboration Agreement became effective in March 2025.</w:t>
      </w:r>
    </w:p>
    <w:p>
      <w:pPr>
        <w:spacing w:after="0" w:line="176"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Pursuant to the Nippon Shinyaku Collaboration Agreement, the Company granted Nippon Shinyaku a license to develop and exclusively commercialize RGX-121 and RGX-111 in the United States and certain countries in Asia. The Company is responsible for the development of RGX-121 and RGX-111 in the United States, and Nippon Shinyaku is responsible for development in licensed territories outside the United States. The Company is responsible for the manufacturing of RGX-121 and RGX-111 for clinical development and commercial supply, and manufacturing expenses will be allocated between the parties in accordance with the terms of the Nippon Shinyaku Collaboration Agreement and mutually agreed supply agreements. Nippon Shinyaku will be responsible, at its sole cost, for the commercialization of RGX-121 and RGX-111 in the licensed territories. The Company reserves the right to develop and commercialize RGX-121 and RGX-111 in countries outside the licensed territories.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27"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In consideration for the rights granted and services to be performed under the Nippon Shinyaku Collaboration Agreement, Nippon Shinyaku paid the Company an up-front fee of $110.0 million upon the effective date of the agreement in March 2025 and is required to pay to the Company up to $700.0 million upon the achievement of specified development and sales-based milestones, of which $40.0 million are based on development milestones and $660.0 million are sales-based milestones. Nippon Shinyaku is also required to pay to the Company double-digit royalties on net sales of RGX-121 and RGX-111 in the licensed territories, subject to specified offsets and reductions. The Company retains all rights to, and any proceeds related to the sale of, any priority review vouchers that may be issued upon the potential approvals of RGX-121 and RGX-111.</w:t>
      </w:r>
    </w:p>
    <w:p>
      <w:pPr>
        <w:spacing w:after="0" w:line="187"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Company concluded that each of the distinct units of account identified under the Nippon Shinyaku Collaboration Agreement should be accounted for as revenue under ASC 606, as Nippon Shinyaku is deemed to be a customer for each of the various transactions. The Company identified the following material performance obligations under the agreement: (i) delivery of intellectual property licenses to develop and commercialize RGX-121 and RGX-111 in the United States and Asia territories, (ii) development services for RGX-121 and RGX-111 in the United States, including manufacturing of clinical supply and commercial supply prior to regulatory approval, and (iii) material rights granted to Nippon Shinyaku to purchase commercial supply for sales in licensed territories.</w:t>
      </w:r>
    </w:p>
    <w:p>
      <w:pPr>
        <w:spacing w:after="0" w:line="187"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As of September 30, 2026, the transaction price of the Nippon Shinyaku Collaboration Agreement included fixed consideration of $110.0 million for the up-front payment and estimated variable consideration of $5.6 million for reimbursable costs of manufacturing and other services which are deemed not to be constrained. Variable consideration which has been excluded from the transaction price includes $40.0 million in payments for development milestones that have not yet been achieved and were not considered probable of achievement, and reimbursable costs of manufacturing and other services which are contingent on events occurring that are outside the Company’s control and are deemed to be constrained. The transaction price also excludes sales-based milestone payments of $660.0 million and royalties on net sales of RGX-121 and RGX-111 in the United States and Asia territories. Development milestones will be added to the transaction price upon achievement, or if deemed probable of achievement, and other variable consideration for manufacturing and other services may be added to the transaction price in the future as uncertainties regarding payment of the consideration are resolved. In accordance with the sale- or usage-based royalty exception under ASC 606, royalties on net sales and sales-based milestones will be recognized as revenue in the period the underlying sales occur or milestones are achieved. There were no changes in the fixed transaction price of the Nippon Shinyaku Collaboration Agreement during the three and nine months ended September 30, 2026 and 2025.</w:t>
      </w:r>
    </w:p>
    <w:p>
      <w:pPr>
        <w:spacing w:after="0" w:line="19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fixed transaction price of the Nippon Shinyaku Collaboration Agreement of $110.0 million was allocated to the various performance obligations based on their relative standalone selling prices, which requires significant judgment. The $5.6 million of estimated variable consideration included in the transaction price is allocated directly to performance obligations for the manufacturing of commercial supply prior to regulatory approval and other service obligations since the consideration is directly associated with the performance of such services and reimbursement of applicable costs. Consideration contingent upon the future exercise of options to purchase commercial supply is excluded from the transaction price until exercised.</w:t>
      </w:r>
    </w:p>
    <w:p>
      <w:pPr>
        <w:spacing w:after="0" w:line="183"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The portion of the $110.0 million fixed transaction price allocated to the delivery of the intellectual property licenses was recognized as license and royalty revenue upon the delivery of the licenses to Nippon Shinyaku in March 2025. The portion of the fixed transaction price allocated to development services will be recognized as service revenue as the services are performed using an input method based on costs incurred versus total estimated costs to perform the services, which is re-assessed at each reporting date. The portion of the fixed transaction price allocated to material rights to purchase commercial supply will be recognized as revenue proportionally with the total expected commercial supply revenue expected to be recognized under the arrangement, which is re-assessed at each reporting date. Commercial supply revenue will be recognized as revenue upon delivery to Nippon Shinyaku, or otherwise upon transfer of control of commercial supply to Nippon Shinyaku as defined in the associated supply agreements.</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recognized the following amounts under the Nippon Shinyaku Collaboration Agreement (in thousands):</w:t>
      </w:r>
    </w:p>
    <w:p>
      <w:pPr>
        <w:spacing w:after="0" w:line="219"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4180" w:type="dxa"/>
            <w:vAlign w:val="bottom"/>
          </w:tcPr>
          <w:p>
            <w:pPr>
              <w:spacing w:after="0"/>
              <w:rPr>
                <w:sz w:val="15"/>
                <w:szCs w:val="15"/>
                <w:color w:val="auto"/>
              </w:rPr>
            </w:pPr>
          </w:p>
        </w:tc>
        <w:tc>
          <w:tcPr>
            <w:tcW w:w="2800" w:type="dxa"/>
            <w:vAlign w:val="bottom"/>
            <w:gridSpan w:val="5"/>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72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418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6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3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437"/>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3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r>
      <w:tr>
        <w:trPr>
          <w:trHeight w:val="210"/>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License and royalty revenue</w:t>
            </w:r>
          </w:p>
        </w:tc>
        <w:tc>
          <w:tcPr>
            <w:tcW w:w="840" w:type="dxa"/>
            <w:vAlign w:val="bottom"/>
            <w:shd w:val="clear" w:color="auto" w:fill="CFF0FC"/>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69,979</w:t>
            </w:r>
          </w:p>
        </w:tc>
        <w:tc>
          <w:tcPr>
            <w:tcW w:w="120" w:type="dxa"/>
            <w:vAlign w:val="bottom"/>
            <w:shd w:val="clear" w:color="auto" w:fill="CFF0FC"/>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Service revenue</w:t>
            </w:r>
          </w:p>
        </w:tc>
        <w:tc>
          <w:tcPr>
            <w:tcW w:w="8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3,309</w:t>
            </w: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5,932</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8,040</w:t>
            </w: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10,426</w:t>
            </w:r>
          </w:p>
        </w:tc>
        <w:tc>
          <w:tcPr>
            <w:tcW w:w="120" w:type="dxa"/>
            <w:vAlign w:val="bottom"/>
          </w:tcPr>
          <w:p>
            <w:pPr>
              <w:spacing w:after="0"/>
              <w:rPr>
                <w:sz w:val="18"/>
                <w:szCs w:val="18"/>
                <w:color w:val="auto"/>
              </w:rPr>
            </w:pPr>
          </w:p>
        </w:tc>
      </w:tr>
      <w:tr>
        <w:trPr>
          <w:trHeight w:val="230"/>
        </w:trPr>
        <w:tc>
          <w:tcPr>
            <w:tcW w:w="41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revenues</w:t>
            </w:r>
          </w:p>
        </w:tc>
        <w:tc>
          <w:tcPr>
            <w:tcW w:w="840" w:type="dxa"/>
            <w:vAlign w:val="bottom"/>
            <w:shd w:val="clear" w:color="auto" w:fill="CFF0FC"/>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3,309</w:t>
            </w:r>
          </w:p>
        </w:tc>
        <w:tc>
          <w:tcPr>
            <w:tcW w:w="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5,932</w:t>
            </w:r>
          </w:p>
        </w:tc>
        <w:tc>
          <w:tcPr>
            <w:tcW w:w="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8,040</w:t>
            </w:r>
          </w:p>
        </w:tc>
        <w:tc>
          <w:tcPr>
            <w:tcW w:w="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80,405</w:t>
            </w:r>
          </w:p>
        </w:tc>
        <w:tc>
          <w:tcPr>
            <w:tcW w:w="120" w:type="dxa"/>
            <w:vAlign w:val="bottom"/>
            <w:shd w:val="clear" w:color="auto" w:fill="CFF0FC"/>
          </w:tcPr>
          <w:p>
            <w:pPr>
              <w:spacing w:after="0"/>
              <w:rPr>
                <w:sz w:val="19"/>
                <w:szCs w:val="19"/>
                <w:color w:val="auto"/>
              </w:rPr>
            </w:pPr>
          </w:p>
        </w:tc>
      </w:tr>
      <w:tr>
        <w:trPr>
          <w:trHeight w:val="20"/>
        </w:trPr>
        <w:tc>
          <w:tcPr>
            <w:tcW w:w="418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-24765</wp:posOffset>
            </wp:positionV>
            <wp:extent cx="60325"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-7620</wp:posOffset>
            </wp:positionV>
            <wp:extent cx="6032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-24765</wp:posOffset>
            </wp:positionV>
            <wp:extent cx="60325"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-7620</wp:posOffset>
            </wp:positionV>
            <wp:extent cx="6032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-24765</wp:posOffset>
            </wp:positionV>
            <wp:extent cx="60325"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-7620</wp:posOffset>
            </wp:positionV>
            <wp:extent cx="6032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-24765</wp:posOffset>
            </wp:positionV>
            <wp:extent cx="6858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-7620</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As of September 30, 2026 and December 31, 2025, the Company had recorded total accounts receivable of $2.5 million and $4.1 million, respectively, for reimbursement of manufacturing-related development costs and other services under the Nippon Shinyaku Collaboration Agreement.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27"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As of September 30, 2026, the Company had recorded total deferred revenue of $22.2 million for development services and material rights which have not yet been satisfied under the Nippon Shinyaku Collaboration Agreement, of which $6.0 million was included in current liabilities and $16.2 million was included in non-current liabilities. As of December 31, 2025, the Company had recorded total deferred revenue of $29.4 million for development services and material rights which have not yet been satisfied under the Nippon Shinyaku Collaboration Agreement, of which $10.5 million was included in current liabilities and $18.9 million was included in non-current liabilities.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Stock-based Compensation</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total number of shares of common stock authorized for issuance under the 2025 Equity Incentive Plan (the 2025 Plan) upon its adoption in May 2025 was 5,500,000. The number of shares authorized for issuance under the 2025 Plan shall automatically increase for any shares of common stock underlying awards outstanding under the 2015 Equity Incentive Plan (the 2015 Plan), as of the adoption date of the 2025 Plan, which are not issued due to forfeiture, expiration, termination or cancellation of the award, including an exchange of the award (to the extent that surrendered awards exceed newly issued awards in such exchange). Shares of common stock that are withheld, tendered, or otherwise not issued in connection with the settlement of awards outstanding under the 2015 Plan do not increase the number of shares authorized for issuance under the 2025 Plan. As of September 30, 2026, the total number of shares of common stock reserved for issuance under the 2025 Plan and 2015 Plan was 18,732,094, of which 4,985,411 remained available for future grants under the 2025 Plan.</w:t>
      </w:r>
    </w:p>
    <w:p>
      <w:pPr>
        <w:spacing w:after="0" w:line="19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Company's equity incentive plans provide for the issuance of stock options, stock appreciation rights, restricted and unrestricted stock and unit awards, and performance cash awards to employees, members of the Board of Directors and consultants of the Company. As of September 30, 2026, the Company has issued only stock options, restricted stock units (RSUs) and performance stock units (PSUs) under its equity plans. Stock options generally expire 10 years following the date of grant and typically vest over a four-year service period, but contractual terms and vesting provisions can vary by award based on the discretion of the Board of Directors. Stock options have an exercise price at least equal to the estimated fair value of the Company’s common stock on the date of grant. RSUs typically vest over a four-year service period, but vesting provisions can vary by award based on the discretion of the Board of Directors. In January 2026, the Company granted PSUs to certain executive employees. PSUs have similar terms and conditions as RSUs, except that vesting is contingent upon the achievement of specified performance conditions in addition to service conditions over a period of one year. Upon vesting, RSUs and PSUs are settled in common stock of the Company. Awards granted under the 2025 Plan generally have a minimum vesting requirement of one year from the grant date.</w:t>
      </w:r>
    </w:p>
    <w:p>
      <w:pPr>
        <w:spacing w:after="0" w:line="2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stock-based compensation expense by award type was as follows (in thousands):</w:t>
      </w:r>
    </w:p>
    <w:p>
      <w:pPr>
        <w:spacing w:after="0" w:line="219"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4180" w:type="dxa"/>
            <w:vAlign w:val="bottom"/>
          </w:tcPr>
          <w:p>
            <w:pPr>
              <w:spacing w:after="0"/>
              <w:rPr>
                <w:sz w:val="15"/>
                <w:szCs w:val="15"/>
                <w:color w:val="auto"/>
              </w:rPr>
            </w:pPr>
          </w:p>
        </w:tc>
        <w:tc>
          <w:tcPr>
            <w:tcW w:w="2800" w:type="dxa"/>
            <w:vAlign w:val="bottom"/>
            <w:gridSpan w:val="5"/>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72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418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6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3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43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3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r>
      <w:tr>
        <w:trPr>
          <w:trHeight w:val="210"/>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840" w:type="dxa"/>
            <w:vAlign w:val="bottom"/>
            <w:shd w:val="clear" w:color="auto" w:fill="CFF0FC"/>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3,345</w:t>
            </w:r>
          </w:p>
        </w:tc>
        <w:tc>
          <w:tcPr>
            <w:tcW w:w="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4,777</w:t>
            </w:r>
          </w:p>
        </w:tc>
        <w:tc>
          <w:tcPr>
            <w:tcW w:w="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10,751</w:t>
            </w:r>
          </w:p>
        </w:tc>
        <w:tc>
          <w:tcPr>
            <w:tcW w:w="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14,262</w:t>
            </w:r>
          </w:p>
        </w:tc>
        <w:tc>
          <w:tcPr>
            <w:tcW w:w="120" w:type="dxa"/>
            <w:vAlign w:val="bottom"/>
            <w:shd w:val="clear" w:color="auto" w:fill="CFF0FC"/>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RSUs</w:t>
            </w:r>
          </w:p>
        </w:tc>
        <w:tc>
          <w:tcPr>
            <w:tcW w:w="8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3,966</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12,530</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11,432</w:t>
            </w:r>
          </w:p>
        </w:tc>
        <w:tc>
          <w:tcPr>
            <w:tcW w:w="120" w:type="dxa"/>
            <w:vAlign w:val="bottom"/>
          </w:tcPr>
          <w:p>
            <w:pPr>
              <w:spacing w:after="0"/>
              <w:rPr>
                <w:sz w:val="18"/>
                <w:szCs w:val="18"/>
                <w:color w:val="auto"/>
              </w:rPr>
            </w:pPr>
          </w:p>
        </w:tc>
      </w:tr>
      <w:tr>
        <w:trPr>
          <w:trHeight w:val="216"/>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PSUs</w:t>
            </w:r>
          </w:p>
        </w:tc>
        <w:tc>
          <w:tcPr>
            <w:tcW w:w="84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1,914</w:t>
            </w: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8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120" w:type="dxa"/>
            <w:vAlign w:val="bottom"/>
          </w:tcPr>
          <w:p>
            <w:pPr>
              <w:spacing w:after="0"/>
              <w:rPr>
                <w:sz w:val="18"/>
                <w:szCs w:val="18"/>
                <w:color w:val="auto"/>
              </w:rPr>
            </w:pPr>
          </w:p>
        </w:tc>
      </w:tr>
      <w:tr>
        <w:trPr>
          <w:trHeight w:val="229"/>
        </w:trPr>
        <w:tc>
          <w:tcPr>
            <w:tcW w:w="418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8,120</w:t>
            </w:r>
          </w:p>
        </w:tc>
        <w:tc>
          <w:tcPr>
            <w:tcW w:w="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8,998</w:t>
            </w:r>
          </w:p>
        </w:tc>
        <w:tc>
          <w:tcPr>
            <w:tcW w:w="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25,790</w:t>
            </w:r>
          </w:p>
        </w:tc>
        <w:tc>
          <w:tcPr>
            <w:tcW w:w="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26,188</w:t>
            </w:r>
          </w:p>
        </w:tc>
        <w:tc>
          <w:tcPr>
            <w:tcW w:w="120" w:type="dxa"/>
            <w:vAlign w:val="bottom"/>
            <w:shd w:val="clear" w:color="auto" w:fill="CFF0FC"/>
          </w:tcPr>
          <w:p>
            <w:pPr>
              <w:spacing w:after="0"/>
              <w:rPr>
                <w:sz w:val="19"/>
                <w:szCs w:val="19"/>
                <w:color w:val="auto"/>
              </w:rPr>
            </w:pPr>
          </w:p>
        </w:tc>
      </w:tr>
      <w:tr>
        <w:trPr>
          <w:trHeight w:val="20"/>
        </w:trPr>
        <w:tc>
          <w:tcPr>
            <w:tcW w:w="418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-25400</wp:posOffset>
            </wp:positionV>
            <wp:extent cx="60325"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-8255</wp:posOffset>
            </wp:positionV>
            <wp:extent cx="60325"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-25400</wp:posOffset>
            </wp:positionV>
            <wp:extent cx="60325"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-8255</wp:posOffset>
            </wp:positionV>
            <wp:extent cx="60325"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-25400</wp:posOffset>
            </wp:positionV>
            <wp:extent cx="60325"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-8255</wp:posOffset>
            </wp:positionV>
            <wp:extent cx="60325"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-25400</wp:posOffset>
            </wp:positionV>
            <wp:extent cx="6858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-8255</wp:posOffset>
            </wp:positionV>
            <wp:extent cx="6858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18" w:lineRule="exact"/>
        <w:rPr>
          <w:sz w:val="20"/>
          <w:szCs w:val="20"/>
          <w:color w:val="auto"/>
        </w:rPr>
      </w:pPr>
    </w:p>
    <w:p>
      <w:pPr>
        <w:jc w:val="both"/>
        <w:ind w:right="420" w:firstLine="509"/>
        <w:spacing w:after="0" w:line="282" w:lineRule="auto"/>
        <w:rPr>
          <w:sz w:val="20"/>
          <w:szCs w:val="20"/>
          <w:color w:val="auto"/>
        </w:rPr>
      </w:pPr>
      <w:r>
        <w:rPr>
          <w:rFonts w:ascii="Times New Roman" w:cs="Times New Roman" w:eastAsia="Times New Roman" w:hAnsi="Times New Roman"/>
          <w:sz w:val="18"/>
          <w:szCs w:val="18"/>
          <w:color w:val="auto"/>
        </w:rPr>
        <w:t>As of September 30, 2026, the Company had $45.8 million of unrecognized stock-based compensation expense related to stock options, RSUs, PSUs and the 2015 Employee Stock Purchase Plan (the 2015 ESPP), which is expected to be recognized over a weighted-average period of 2.3 years.</w:t>
      </w:r>
    </w:p>
    <w:p>
      <w:pPr>
        <w:spacing w:after="0" w:line="162" w:lineRule="exact"/>
        <w:rPr>
          <w:sz w:val="20"/>
          <w:szCs w:val="20"/>
          <w:color w:val="auto"/>
        </w:rPr>
      </w:pPr>
    </w:p>
    <w:p>
      <w:pPr>
        <w:ind w:right="560" w:firstLine="509"/>
        <w:spacing w:after="0" w:line="282" w:lineRule="auto"/>
        <w:rPr>
          <w:sz w:val="20"/>
          <w:szCs w:val="20"/>
          <w:color w:val="auto"/>
        </w:rPr>
      </w:pPr>
      <w:r>
        <w:rPr>
          <w:rFonts w:ascii="Times New Roman" w:cs="Times New Roman" w:eastAsia="Times New Roman" w:hAnsi="Times New Roman"/>
          <w:sz w:val="18"/>
          <w:szCs w:val="18"/>
          <w:color w:val="auto"/>
        </w:rPr>
        <w:t>The Company recorded aggregate stock-based compensation expense in the consolidated statements of operations and comprehensive loss as follows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20" w:type="dxa"/>
            <w:vAlign w:val="bottom"/>
            <w:gridSpan w:val="4"/>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80" w:type="dxa"/>
            <w:vAlign w:val="bottom"/>
            <w:gridSpan w:val="6"/>
          </w:tcPr>
          <w:p>
            <w:pPr>
              <w:ind w:left="1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58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436"/>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3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437"/>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3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210"/>
        </w:trPr>
        <w:tc>
          <w:tcPr>
            <w:tcW w:w="580" w:type="dxa"/>
            <w:vAlign w:val="bottom"/>
          </w:tcPr>
          <w:p>
            <w:pPr>
              <w:spacing w:after="0"/>
              <w:rPr>
                <w:sz w:val="18"/>
                <w:szCs w:val="18"/>
                <w:color w:val="auto"/>
              </w:rPr>
            </w:pPr>
          </w:p>
        </w:tc>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3,377</w:t>
            </w:r>
          </w:p>
        </w:tc>
        <w:tc>
          <w:tcPr>
            <w:tcW w:w="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4,245</w:t>
            </w:r>
          </w:p>
        </w:tc>
        <w:tc>
          <w:tcPr>
            <w:tcW w:w="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10,988</w:t>
            </w:r>
          </w:p>
        </w:tc>
        <w:tc>
          <w:tcPr>
            <w:tcW w:w="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12,181</w:t>
            </w:r>
          </w:p>
        </w:tc>
        <w:tc>
          <w:tcPr>
            <w:tcW w:w="12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4,743</w:t>
            </w: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4,753</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14,802</w:t>
            </w: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14,007</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50"/>
        </w:trPr>
        <w:tc>
          <w:tcPr>
            <w:tcW w:w="580" w:type="dxa"/>
            <w:vAlign w:val="bottom"/>
          </w:tcPr>
          <w:p>
            <w:pPr>
              <w:spacing w:after="0"/>
              <w:rPr>
                <w:sz w:val="21"/>
                <w:szCs w:val="21"/>
                <w:color w:val="auto"/>
              </w:rPr>
            </w:pPr>
          </w:p>
        </w:tc>
        <w:tc>
          <w:tcPr>
            <w:tcW w:w="418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8,120</w:t>
            </w:r>
          </w:p>
        </w:tc>
        <w:tc>
          <w:tcPr>
            <w:tcW w:w="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8,998</w:t>
            </w:r>
          </w:p>
        </w:tc>
        <w:tc>
          <w:tcPr>
            <w:tcW w:w="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25,790</w:t>
            </w:r>
          </w:p>
        </w:tc>
        <w:tc>
          <w:tcPr>
            <w:tcW w:w="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26,188</w:t>
            </w:r>
          </w:p>
        </w:tc>
        <w:tc>
          <w:tcPr>
            <w:tcW w:w="12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628"/>
        </w:trPr>
        <w:tc>
          <w:tcPr>
            <w:tcW w:w="580" w:type="dxa"/>
            <w:vAlign w:val="bottom"/>
          </w:tcPr>
          <w:p>
            <w:pPr>
              <w:spacing w:after="0"/>
              <w:rPr>
                <w:sz w:val="24"/>
                <w:szCs w:val="24"/>
                <w:color w:val="auto"/>
              </w:rPr>
            </w:pPr>
          </w:p>
        </w:tc>
        <w:tc>
          <w:tcPr>
            <w:tcW w:w="418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jc w:val="right"/>
              <w:ind w:right="256"/>
              <w:spacing w:after="0"/>
              <w:rPr>
                <w:sz w:val="20"/>
                <w:szCs w:val="20"/>
                <w:color w:val="auto"/>
              </w:rPr>
            </w:pPr>
            <w:r>
              <w:rPr>
                <w:rFonts w:ascii="Times New Roman" w:cs="Times New Roman" w:eastAsia="Times New Roman" w:hAnsi="Times New Roman"/>
                <w:sz w:val="18"/>
                <w:szCs w:val="18"/>
                <w:color w:val="auto"/>
              </w:rPr>
              <w:t>24</w:t>
            </w:r>
          </w:p>
        </w:tc>
        <w:tc>
          <w:tcPr>
            <w:tcW w:w="20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560" w:type="dxa"/>
            <w:vAlign w:val="bottom"/>
          </w:tcPr>
          <w:p>
            <w:pPr>
              <w:spacing w:after="0"/>
              <w:rPr>
                <w:sz w:val="24"/>
                <w:szCs w:val="24"/>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41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-933450</wp:posOffset>
            </wp:positionV>
            <wp:extent cx="6032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-916305</wp:posOffset>
            </wp:positionV>
            <wp:extent cx="60325"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-933450</wp:posOffset>
            </wp:positionV>
            <wp:extent cx="6032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-916305</wp:posOffset>
            </wp:positionV>
            <wp:extent cx="60325"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-933450</wp:posOffset>
            </wp:positionV>
            <wp:extent cx="6032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-916305</wp:posOffset>
            </wp:positionV>
            <wp:extent cx="60325"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-933450</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-916305</wp:posOffset>
            </wp:positionV>
            <wp:extent cx="6858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5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stock option activity under the Company's equity incentive plans (in thousands, except per share data):</w:t>
      </w:r>
    </w:p>
    <w:p>
      <w:pPr>
        <w:spacing w:after="0" w:line="20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1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0" w:type="dxa"/>
            <w:vAlign w:val="bottom"/>
          </w:tcPr>
          <w:p>
            <w:pPr>
              <w:spacing w:after="0"/>
              <w:rPr>
                <w:sz w:val="12"/>
                <w:szCs w:val="12"/>
                <w:color w:val="auto"/>
              </w:rPr>
            </w:pPr>
          </w:p>
        </w:tc>
        <w:tc>
          <w:tcPr>
            <w:tcW w:w="1080" w:type="dxa"/>
            <w:vAlign w:val="bottom"/>
          </w:tcPr>
          <w:p>
            <w:pPr>
              <w:jc w:val="center"/>
              <w:ind w:left="20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jc w:val="center"/>
              <w:ind w:left="208"/>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4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center"/>
              <w:ind w:left="34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jc w:val="center"/>
              <w:ind w:left="208"/>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60" w:type="dxa"/>
            <w:vAlign w:val="bottom"/>
          </w:tcPr>
          <w:p>
            <w:pPr>
              <w:spacing w:after="0"/>
              <w:rPr>
                <w:sz w:val="12"/>
                <w:szCs w:val="12"/>
                <w:color w:val="auto"/>
              </w:rPr>
            </w:pPr>
          </w:p>
        </w:tc>
        <w:tc>
          <w:tcPr>
            <w:tcW w:w="1240" w:type="dxa"/>
            <w:vAlign w:val="bottom"/>
            <w:vMerge w:val="restart"/>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center"/>
              <w:ind w:left="348"/>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jc w:val="center"/>
              <w:ind w:left="208"/>
              <w:spacing w:after="0" w:line="149" w:lineRule="exact"/>
              <w:rPr>
                <w:sz w:val="20"/>
                <w:szCs w:val="20"/>
                <w:color w:val="auto"/>
              </w:rPr>
            </w:pPr>
            <w:r>
              <w:rPr>
                <w:rFonts w:ascii="Times New Roman" w:cs="Times New Roman" w:eastAsia="Times New Roman" w:hAnsi="Times New Roman"/>
                <w:sz w:val="14"/>
                <w:szCs w:val="14"/>
                <w:b w:val="1"/>
                <w:bCs w:val="1"/>
                <w:color w:val="auto"/>
                <w:w w:val="99"/>
              </w:rPr>
              <w:t>Life</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4160" w:type="dxa"/>
            <w:vAlign w:val="bottom"/>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Borders>
              <w:bottom w:val="single" w:sz="8" w:color="auto"/>
            </w:tcBorders>
          </w:tcPr>
          <w:p>
            <w:pPr>
              <w:jc w:val="center"/>
              <w:ind w:left="348"/>
              <w:spacing w:after="0"/>
              <w:rPr>
                <w:sz w:val="20"/>
                <w:szCs w:val="20"/>
                <w:color w:val="auto"/>
              </w:rPr>
            </w:pPr>
            <w:r>
              <w:rPr>
                <w:rFonts w:ascii="Times New Roman" w:cs="Times New Roman" w:eastAsia="Times New Roman" w:hAnsi="Times New Roman"/>
                <w:sz w:val="14"/>
                <w:szCs w:val="14"/>
                <w:b w:val="1"/>
                <w:bCs w:val="1"/>
                <w:color w:val="auto"/>
              </w:rPr>
              <w:t>Price</w:t>
            </w:r>
          </w:p>
        </w:tc>
        <w:tc>
          <w:tcPr>
            <w:tcW w:w="4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Borders>
              <w:bottom w:val="single" w:sz="8" w:color="auto"/>
            </w:tcBorders>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2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Value (a)</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December 31, 2025</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11,566</w:t>
            </w:r>
          </w:p>
        </w:tc>
        <w:tc>
          <w:tcPr>
            <w:tcW w:w="1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25.26</w:t>
            </w: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17,523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Granted</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1,752</w:t>
            </w:r>
          </w:p>
        </w:tc>
        <w:tc>
          <w:tcPr>
            <w:tcW w:w="120" w:type="dxa"/>
            <w:vAlign w:val="bottom"/>
          </w:tcPr>
          <w:p>
            <w:pPr>
              <w:spacing w:after="0"/>
              <w:rPr>
                <w:sz w:val="18"/>
                <w:szCs w:val="18"/>
                <w:color w:val="auto"/>
              </w:rPr>
            </w:pPr>
          </w:p>
        </w:tc>
        <w:tc>
          <w:tcPr>
            <w:tcW w:w="1020" w:type="dxa"/>
            <w:vAlign w:val="bottom"/>
            <w:gridSpan w:val="2"/>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11.86</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Exercised</w:t>
            </w:r>
          </w:p>
        </w:tc>
        <w:tc>
          <w:tcPr>
            <w:tcW w:w="1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(325)</w:t>
            </w:r>
          </w:p>
        </w:tc>
        <w:tc>
          <w:tcPr>
            <w:tcW w:w="1020" w:type="dxa"/>
            <w:vAlign w:val="bottom"/>
            <w:gridSpan w:val="2"/>
            <w:shd w:val="clear" w:color="auto" w:fill="CFF0FC"/>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11.84</w:t>
            </w: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Cancelled or forfeited</w:t>
            </w: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(2,435)</w:t>
            </w:r>
          </w:p>
        </w:tc>
        <w:tc>
          <w:tcPr>
            <w:tcW w:w="1020" w:type="dxa"/>
            <w:vAlign w:val="bottom"/>
            <w:gridSpan w:val="2"/>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33.17</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September 30, 2026</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10,558</w:t>
            </w:r>
          </w:p>
        </w:tc>
        <w:tc>
          <w:tcPr>
            <w:tcW w:w="12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gridSpan w:val="2"/>
            <w:shd w:val="clear" w:color="auto" w:fill="CFF0FC"/>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21.62</w:t>
            </w:r>
          </w:p>
        </w:tc>
        <w:tc>
          <w:tcPr>
            <w:tcW w:w="20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40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1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Exercisable at September 30, 2026</w:t>
            </w:r>
          </w:p>
        </w:tc>
        <w:tc>
          <w:tcPr>
            <w:tcW w:w="12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6,957</w:t>
            </w:r>
          </w:p>
        </w:tc>
        <w:tc>
          <w:tcPr>
            <w:tcW w:w="120" w:type="dxa"/>
            <w:vAlign w:val="bottom"/>
          </w:tcPr>
          <w:p>
            <w:pPr>
              <w:spacing w:after="0"/>
              <w:rPr>
                <w:sz w:val="17"/>
                <w:szCs w:val="17"/>
                <w:color w:val="auto"/>
              </w:rPr>
            </w:pPr>
          </w:p>
        </w:tc>
        <w:tc>
          <w:tcPr>
            <w:tcW w:w="1020" w:type="dxa"/>
            <w:vAlign w:val="bottom"/>
            <w:gridSpan w:val="2"/>
          </w:tcPr>
          <w:p>
            <w:pPr>
              <w:jc w:val="right"/>
              <w:ind w:right="788"/>
              <w:spacing w:after="0" w:line="196"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93"/>
              </w:rPr>
              <w:t>26.93</w:t>
            </w: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5.1</w:t>
            </w:r>
          </w:p>
        </w:tc>
        <w:tc>
          <w:tcPr>
            <w:tcW w:w="40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16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Vested and expected to vest at September 30, 2026</w:t>
            </w:r>
          </w:p>
        </w:tc>
        <w:tc>
          <w:tcPr>
            <w:tcW w:w="12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10,558</w:t>
            </w:r>
          </w:p>
        </w:tc>
        <w:tc>
          <w:tcPr>
            <w:tcW w:w="120" w:type="dxa"/>
            <w:vAlign w:val="bottom"/>
            <w:tcBorders>
              <w:bottom w:val="single" w:sz="8" w:color="CFF0FC"/>
            </w:tcBorders>
            <w:shd w:val="clear" w:color="auto" w:fill="CFF0FC"/>
          </w:tcPr>
          <w:p>
            <w:pPr>
              <w:spacing w:after="0"/>
              <w:rPr>
                <w:sz w:val="20"/>
                <w:szCs w:val="20"/>
                <w:color w:val="auto"/>
              </w:rPr>
            </w:pPr>
          </w:p>
        </w:tc>
        <w:tc>
          <w:tcPr>
            <w:tcW w:w="1020" w:type="dxa"/>
            <w:vAlign w:val="bottom"/>
            <w:tcBorders>
              <w:bottom w:val="single" w:sz="8" w:color="CFF0FC"/>
            </w:tcBorders>
            <w:gridSpan w:val="2"/>
            <w:shd w:val="clear" w:color="auto" w:fill="CFF0FC"/>
          </w:tcPr>
          <w:p>
            <w:pPr>
              <w:jc w:val="right"/>
              <w:ind w:right="788"/>
              <w:spacing w:after="0" w:line="196"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FF0FC"/>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93"/>
              </w:rPr>
              <w:t>21.62</w:t>
            </w:r>
          </w:p>
        </w:tc>
        <w:tc>
          <w:tcPr>
            <w:tcW w:w="200" w:type="dxa"/>
            <w:vAlign w:val="bottom"/>
            <w:tcBorders>
              <w:bottom w:val="single" w:sz="8" w:color="CFF0FC"/>
            </w:tcBorders>
            <w:shd w:val="clear" w:color="auto" w:fill="CFF0FC"/>
          </w:tcPr>
          <w:p>
            <w:pPr>
              <w:spacing w:after="0"/>
              <w:rPr>
                <w:sz w:val="20"/>
                <w:szCs w:val="20"/>
                <w:color w:val="auto"/>
              </w:rPr>
            </w:pPr>
          </w:p>
        </w:tc>
        <w:tc>
          <w:tcPr>
            <w:tcW w:w="108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6.2</w:t>
            </w:r>
          </w:p>
        </w:tc>
        <w:tc>
          <w:tcPr>
            <w:tcW w:w="400" w:type="dxa"/>
            <w:vAlign w:val="bottom"/>
            <w:tcBorders>
              <w:bottom w:val="single" w:sz="8" w:color="CFF0FC"/>
            </w:tcBorders>
            <w:gridSpan w:val="2"/>
            <w:shd w:val="clear" w:color="auto" w:fill="CFF0FC"/>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FF0FC"/>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233</w:t>
            </w:r>
          </w:p>
        </w:tc>
        <w:tc>
          <w:tcPr>
            <w:tcW w:w="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-350520</wp:posOffset>
            </wp:positionV>
            <wp:extent cx="6032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-333375</wp:posOffset>
            </wp:positionV>
            <wp:extent cx="6032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-24765</wp:posOffset>
            </wp:positionV>
            <wp:extent cx="6032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-7620</wp:posOffset>
            </wp:positionV>
            <wp:extent cx="6032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95123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51" w:lineRule="exact"/>
        <w:rPr>
          <w:sz w:val="20"/>
          <w:szCs w:val="20"/>
          <w:color w:val="auto"/>
        </w:rPr>
      </w:pPr>
    </w:p>
    <w:p>
      <w:pPr>
        <w:ind w:left="520" w:right="200" w:hanging="512"/>
        <w:spacing w:after="0" w:line="282" w:lineRule="auto"/>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intrinsic value is calculated as the difference between the exercise price of the underlying options and the fair value of the common stock for the options that were in the money at the dates reported.</w:t>
      </w:r>
    </w:p>
    <w:p>
      <w:pPr>
        <w:spacing w:after="0" w:line="162"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The weighted-average grant date fair value per share of options granted during the nine months ended September 30, 2026, excluding options granted under the stock option exchange program as discussed below, was $6.87. During the nine months ended September 30, 2026, the total number of stock options exercised was 325,339, resulting in total proceeds of $0.8 million. The number of stock options exercised during the period includes shares withheld to cover option cost and taxes. The total intrinsic value of options exercised during the nine months ended September 30, 2026 was $0.5 million.</w:t>
      </w:r>
    </w:p>
    <w:p>
      <w:pPr>
        <w:spacing w:after="0" w:line="2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Stock Option Exchange Program</w:t>
      </w:r>
    </w:p>
    <w:p>
      <w:pPr>
        <w:spacing w:after="0" w:line="119"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On June 3, 2026, the Company commenced an offer to exchange (the Offer to Exchange) certain eligible stock options held by eligible non-executive employees for replacement stock options under a voluntary stock option exchange program (the Stock Option Exchange Program). Under the Stock Option Exchange Program, eligible employees were offered the opportunity to exchange outstanding stock options granted under the 2015 Plan that have an exercise price equal to or greater than $18.00 per share (Eligible Options), for a lesser number of replacement stock options to be granted under the 2025 Plan (Replacement Options). The number of Replacement Options granted in exchange for Eligible Options surrendered was calculated based on specified exchange ratios which vary based on the grant date and exercise price of the Eligible Options. The exchange ratios were established in order to result in a fair value of the Replacement Options that was generally equal, on an aggregate basis, to the fair value of the Eligible Options surrendered.</w:t>
      </w:r>
    </w:p>
    <w:p>
      <w:pPr>
        <w:spacing w:after="0" w:line="18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Offer to Exchange expired on July 1, 2026. Pursuant to the terms and conditions of the Offer to Exchange, a total of 184 eligible employees elected to exchange a total of 1,940,394 Eligible Options with a weighted-average exercise price of $35.13 per share, representing approximately 67.0% of the total Eligible Options outstanding. On July 2, 2026, all Eligible Options that were tendered were cancelled and, in exchange therefor, the Company granted Replacement Options to purchase 775,401 shares of common stock with an exercise price of $13.28 per share, which was the closing price of the Company's common stock on July 2, 2026. The Replacement Options expire eight years from the grant date and are subject to new vesting schedules based on continued service over a period of two years from the grant date.</w:t>
      </w:r>
    </w:p>
    <w:p>
      <w:pPr>
        <w:spacing w:after="0" w:line="18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 xml:space="preserve">The exchange of stock options under the Stock Option Exchange Program was accounted for as a modification of the awards in accordance with ASC 718, </w:t>
      </w:r>
      <w:r>
        <w:rPr>
          <w:rFonts w:ascii="Times New Roman" w:cs="Times New Roman" w:eastAsia="Times New Roman" w:hAnsi="Times New Roman"/>
          <w:sz w:val="18"/>
          <w:szCs w:val="18"/>
          <w:i w:val="1"/>
          <w:iCs w:val="1"/>
          <w:color w:val="auto"/>
        </w:rPr>
        <w:t>Compensation—Stock Compensation</w:t>
      </w:r>
      <w:r>
        <w:rPr>
          <w:rFonts w:ascii="Times New Roman" w:cs="Times New Roman" w:eastAsia="Times New Roman" w:hAnsi="Times New Roman"/>
          <w:sz w:val="18"/>
          <w:szCs w:val="18"/>
          <w:color w:val="auto"/>
        </w:rPr>
        <w:t xml:space="preserve"> (ASC 718). The total incremental stock-based compensation expense resulting from the modification of the awards was immaterial and was measured based on the excess fair value of the modified awards over the fair value of the original awards immediately before the modification, calculated using a Black-Scholes option-pricing model. The incremental stock-based compensation expense will be recognized together with any unrecognized compensation cost remaining on the exchanged options over the two-year requisite service period of the Replacement Options granted.</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RSU activity under the Company's equity incentive plans (in thousands, except per share data):</w:t>
      </w:r>
    </w:p>
    <w:p>
      <w:pPr>
        <w:spacing w:after="0" w:line="20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2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140" w:type="dxa"/>
            <w:vAlign w:val="bottom"/>
            <w:vMerge w:val="restart"/>
          </w:tcPr>
          <w:p>
            <w:pPr>
              <w:ind w:left="6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73"/>
        </w:trPr>
        <w:tc>
          <w:tcPr>
            <w:tcW w:w="5280" w:type="dxa"/>
            <w:vAlign w:val="bottom"/>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4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RSUs at December 31, 2025</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2,850</w:t>
            </w:r>
          </w:p>
        </w:tc>
        <w:tc>
          <w:tcPr>
            <w:tcW w:w="12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13.08</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Granted</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w:t>
            </w:r>
          </w:p>
        </w:tc>
        <w:tc>
          <w:tcPr>
            <w:tcW w:w="12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Vested</w:t>
            </w:r>
          </w:p>
        </w:tc>
        <w:tc>
          <w:tcPr>
            <w:tcW w:w="7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(1,039)</w:t>
            </w: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14.95</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Forfeited</w:t>
            </w:r>
          </w:p>
        </w:tc>
        <w:tc>
          <w:tcPr>
            <w:tcW w:w="11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(152)</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RSUs at September 30, 2026</w:t>
            </w:r>
          </w:p>
        </w:tc>
        <w:tc>
          <w:tcPr>
            <w:tcW w:w="1140" w:type="dxa"/>
            <w:vAlign w:val="bottom"/>
            <w:tcBorders>
              <w:top w:val="single" w:sz="8" w:color="auto"/>
              <w:bottom w:val="single" w:sz="8" w:color="auto"/>
            </w:tcBorders>
            <w:shd w:val="clear" w:color="auto" w:fill="CFF0FC"/>
          </w:tcPr>
          <w:p>
            <w:pPr>
              <w:spacing w:after="0"/>
              <w:rPr>
                <w:sz w:val="21"/>
                <w:szCs w:val="21"/>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2,884</w:t>
            </w:r>
          </w:p>
        </w:tc>
        <w:tc>
          <w:tcPr>
            <w:tcW w:w="1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12.59</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5165725</wp:posOffset>
            </wp:positionH>
            <wp:positionV relativeFrom="paragraph">
              <wp:posOffset>-25400</wp:posOffset>
            </wp:positionV>
            <wp:extent cx="5143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-7620</wp:posOffset>
            </wp:positionV>
            <wp:extent cx="5143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1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total intrinsic value of RSUs vested during the nine months ended September 30, 2026 was $12.6 million.</w:t>
      </w:r>
    </w:p>
    <w:p>
      <w:pPr>
        <w:spacing w:after="0" w:line="3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Performance Stock Units</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In January 2026, the Company granted PSUs to certain executive employees. Vesting of the PSUs is contingent upon the achievement of specified performance conditions pre-determined by the Board of Directors, as well as service conditions over a requisite service period. The performance conditions are based on certain specified business objectives and are non-market based. As determined by the Board of Directors, each performance condition that is achieved during the applicable performance period will result in the vesting of a specified number of PSUs one year from the grant date, subject to the grantee's continued service through the vesting date.</w:t>
      </w:r>
    </w:p>
    <w:p>
      <w:pPr>
        <w:spacing w:after="0" w:line="183"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Stock-based compensation expense for PSUs is measured based on the grant date fair value of the award, which is determined based on the fair value of the Company's stock on the grant date, and is recognized over the requisite service period beginning in the period it is probable that the performance conditions will be achieved. As of September 30, 2026, certain specified performance conditions were achieved or deemed probable of achievement but vesting of the associated PSUs remains subject to continued service conditions. No PSUs vested during the nine months ended September 30, 2026.</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PSU activity under the Company's equity incentive plans (in thousands, except per share data):</w:t>
      </w:r>
    </w:p>
    <w:p>
      <w:pPr>
        <w:spacing w:after="0" w:line="20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2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48"/>
        </w:trPr>
        <w:tc>
          <w:tcPr>
            <w:tcW w:w="5280" w:type="dxa"/>
            <w:vAlign w:val="bottom"/>
          </w:tcPr>
          <w:p>
            <w:pPr>
              <w:spacing w:after="0"/>
              <w:rPr>
                <w:sz w:val="12"/>
                <w:szCs w:val="12"/>
                <w:color w:val="auto"/>
              </w:rPr>
            </w:pPr>
          </w:p>
        </w:tc>
        <w:tc>
          <w:tcPr>
            <w:tcW w:w="1240" w:type="dxa"/>
            <w:vAlign w:val="bottom"/>
            <w:vMerge w:val="restart"/>
          </w:tcPr>
          <w:p>
            <w:pPr>
              <w:ind w:left="6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73"/>
        </w:trPr>
        <w:tc>
          <w:tcPr>
            <w:tcW w:w="5280" w:type="dxa"/>
            <w:vAlign w:val="bottom"/>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PSUs at December 31, 2025</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Granted</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Vested</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Forfeited</w:t>
            </w:r>
          </w:p>
        </w:tc>
        <w:tc>
          <w:tcPr>
            <w:tcW w:w="12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5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PSUs at September 30, 2026</w:t>
            </w:r>
          </w:p>
        </w:tc>
        <w:tc>
          <w:tcPr>
            <w:tcW w:w="1240" w:type="dxa"/>
            <w:vAlign w:val="bottom"/>
            <w:tcBorders>
              <w:bottom w:val="single" w:sz="8" w:color="auto"/>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38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14.18</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5165725</wp:posOffset>
            </wp:positionH>
            <wp:positionV relativeFrom="paragraph">
              <wp:posOffset>-25400</wp:posOffset>
            </wp:positionV>
            <wp:extent cx="51435"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-8255</wp:posOffset>
            </wp:positionV>
            <wp:extent cx="51435"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30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As of September 30, 2026, the total number of shares of common stock authorized for issuance under the 2015 ESPP was 1,426,994, of which 574,699 remained available for future issuance. During the nine months ended September 30, 2026, 180,607 shares of common stock were issued under the 2015 ESPP.</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Income Taxes</w:t>
      </w:r>
    </w:p>
    <w:p>
      <w:pPr>
        <w:spacing w:after="0" w:line="121"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The Company evaluated the positive and negative evidence bearing upon the realizability of its deferred tax assets as of September 30, 2026 and December 31, 2025. Based on the Company’s history of operating losses, and other relevant facts and circumstances, the Company concluded that it was more likely than not that the benefit of its deferred tax assets will not be realized. Accordingly, the Company provided a full valuation allowance for its deferred tax assets as of September 30, 2026 and December 31, 2025.</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Net Loss Per Share</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Since the Company incurred net losses for the three and nine months ended September 30, 2026 and 2025, common stock equivalents were excluded from the calculation of diluted net loss per share for such periods as their effect would be anti-dilutive. Accordingly, basic and diluted net loss per share were the same for such periods. The weighted-average number of common shares outstanding used in the basic and diluted net loss per share calculations includes the weighted-average effect of pre-funded warrants to purchase shares of the Company's common stock, as the pre-funded warrants are exercisable at any time for nominal cash consideration. The following potentially dilutive common stock equivalents outstanding at the end of the period were excluded from the computations of weighted-average diluted common shares for the periods indicated as their effects would be anti-dilutive (in thousands):</w:t>
      </w:r>
    </w:p>
    <w:p>
      <w:pPr>
        <w:spacing w:after="0" w:line="181"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5280" w:type="dxa"/>
            <w:vAlign w:val="bottom"/>
          </w:tcPr>
          <w:p>
            <w:pPr>
              <w:spacing w:after="0"/>
              <w:rPr>
                <w:sz w:val="15"/>
                <w:szCs w:val="15"/>
                <w:color w:val="auto"/>
              </w:rPr>
            </w:pPr>
          </w:p>
        </w:tc>
        <w:tc>
          <w:tcPr>
            <w:tcW w:w="3700" w:type="dxa"/>
            <w:vAlign w:val="bottom"/>
            <w:gridSpan w:val="4"/>
          </w:tcPr>
          <w:p>
            <w:pPr>
              <w:ind w:left="380"/>
              <w:spacing w:after="0"/>
              <w:rPr>
                <w:sz w:val="20"/>
                <w:szCs w:val="20"/>
                <w:color w:val="auto"/>
              </w:rPr>
            </w:pPr>
            <w:r>
              <w:rPr>
                <w:rFonts w:ascii="Times New Roman" w:cs="Times New Roman" w:eastAsia="Times New Roman" w:hAnsi="Times New Roman"/>
                <w:sz w:val="14"/>
                <w:szCs w:val="14"/>
                <w:b w:val="1"/>
                <w:bCs w:val="1"/>
                <w:color w:val="auto"/>
              </w:rPr>
              <w:t>Three and Nine Months Ended September 30,</w:t>
            </w:r>
          </w:p>
        </w:tc>
      </w:tr>
      <w:tr>
        <w:trPr>
          <w:trHeight w:val="142"/>
        </w:trPr>
        <w:tc>
          <w:tcPr>
            <w:tcW w:w="5280" w:type="dxa"/>
            <w:vAlign w:val="bottom"/>
          </w:tcPr>
          <w:p>
            <w:pPr>
              <w:spacing w:after="0"/>
              <w:rPr>
                <w:sz w:val="12"/>
                <w:szCs w:val="12"/>
                <w:color w:val="auto"/>
              </w:rPr>
            </w:pPr>
          </w:p>
        </w:tc>
        <w:tc>
          <w:tcPr>
            <w:tcW w:w="1720" w:type="dxa"/>
            <w:vAlign w:val="bottom"/>
            <w:tcBorders>
              <w:top w:val="single" w:sz="8" w:color="auto"/>
              <w:bottom w:val="single" w:sz="8" w:color="auto"/>
            </w:tcBorders>
          </w:tcPr>
          <w:p>
            <w:pPr>
              <w:jc w:val="right"/>
              <w:ind w:right="63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Borders>
              <w:top w:val="single" w:sz="8" w:color="auto"/>
            </w:tcBorders>
          </w:tcPr>
          <w:p>
            <w:pPr>
              <w:spacing w:after="0"/>
              <w:rPr>
                <w:sz w:val="12"/>
                <w:szCs w:val="12"/>
                <w:color w:val="auto"/>
              </w:rPr>
            </w:pPr>
          </w:p>
        </w:tc>
        <w:tc>
          <w:tcPr>
            <w:tcW w:w="1700" w:type="dxa"/>
            <w:vAlign w:val="bottom"/>
            <w:tcBorders>
              <w:top w:val="single" w:sz="8" w:color="auto"/>
              <w:bottom w:val="single" w:sz="8" w:color="auto"/>
            </w:tcBorders>
          </w:tcPr>
          <w:p>
            <w:pPr>
              <w:jc w:val="right"/>
              <w:ind w:right="63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2"/>
                <w:szCs w:val="12"/>
                <w:color w:val="auto"/>
              </w:rPr>
            </w:pPr>
          </w:p>
        </w:tc>
      </w:tr>
      <w:tr>
        <w:trPr>
          <w:trHeight w:val="209"/>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 outstanding</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10,558</w:t>
            </w:r>
          </w:p>
        </w:tc>
        <w:tc>
          <w:tcPr>
            <w:tcW w:w="1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11,726</w:t>
            </w:r>
          </w:p>
        </w:tc>
        <w:tc>
          <w:tcPr>
            <w:tcW w:w="80" w:type="dxa"/>
            <w:vAlign w:val="bottom"/>
            <w:shd w:val="clear" w:color="auto" w:fill="CFF0FC"/>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Unvested RSUs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2,884</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2,904</w:t>
            </w:r>
          </w:p>
        </w:tc>
        <w:tc>
          <w:tcPr>
            <w:tcW w:w="80" w:type="dxa"/>
            <w:vAlign w:val="bottom"/>
          </w:tcPr>
          <w:p>
            <w:pPr>
              <w:spacing w:after="0"/>
              <w:rPr>
                <w:sz w:val="18"/>
                <w:szCs w:val="18"/>
                <w:color w:val="auto"/>
              </w:rPr>
            </w:pPr>
          </w:p>
        </w:tc>
      </w:tr>
      <w:tr>
        <w:trPr>
          <w:trHeight w:val="216"/>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PSUs</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200" w:type="dxa"/>
            <w:vAlign w:val="bottom"/>
            <w:shd w:val="clear" w:color="auto" w:fill="CFF0FC"/>
          </w:tcPr>
          <w:p>
            <w:pPr>
              <w:spacing w:after="0"/>
              <w:rPr>
                <w:sz w:val="18"/>
                <w:szCs w:val="18"/>
                <w:color w:val="auto"/>
              </w:rPr>
            </w:pPr>
          </w:p>
        </w:tc>
        <w:tc>
          <w:tcPr>
            <w:tcW w:w="1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tcPr>
          <w:p>
            <w:pPr>
              <w:spacing w:after="0"/>
              <w:rPr>
                <w:sz w:val="18"/>
                <w:szCs w:val="18"/>
                <w:color w:val="auto"/>
              </w:rPr>
            </w:pPr>
          </w:p>
        </w:tc>
      </w:tr>
      <w:tr>
        <w:trPr>
          <w:trHeight w:val="216"/>
        </w:trPr>
        <w:tc>
          <w:tcPr>
            <w:tcW w:w="5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May 2025 Warrants outstanding</w:t>
            </w:r>
          </w:p>
        </w:tc>
        <w:tc>
          <w:tcPr>
            <w:tcW w:w="1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200" w:type="dxa"/>
            <w:vAlign w:val="bottom"/>
            <w:tcBorders>
              <w:bottom w:val="single" w:sz="8" w:color="CFF0FC"/>
            </w:tcBorders>
            <w:shd w:val="clear" w:color="auto" w:fill="CFF0FC"/>
          </w:tcPr>
          <w:p>
            <w:pPr>
              <w:spacing w:after="0"/>
              <w:rPr>
                <w:sz w:val="18"/>
                <w:szCs w:val="18"/>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9"/>
        </w:trPr>
        <w:tc>
          <w:tcPr>
            <w:tcW w:w="52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13,962</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14,958</w:t>
            </w:r>
          </w:p>
        </w:tc>
        <w:tc>
          <w:tcPr>
            <w:tcW w:w="80" w:type="dxa"/>
            <w:vAlign w:val="bottom"/>
          </w:tcPr>
          <w:p>
            <w:pPr>
              <w:spacing w:after="0"/>
              <w:rPr>
                <w:sz w:val="18"/>
                <w:szCs w:val="18"/>
                <w:color w:val="auto"/>
              </w:rPr>
            </w:pPr>
          </w:p>
        </w:tc>
      </w:tr>
      <w:tr>
        <w:trPr>
          <w:trHeight w:val="20"/>
        </w:trPr>
        <w:tc>
          <w:tcPr>
            <w:tcW w:w="5280" w:type="dxa"/>
            <w:vAlign w:val="bottom"/>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-170815</wp:posOffset>
            </wp:positionV>
            <wp:extent cx="6032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-170815</wp:posOffset>
            </wp:positionV>
            <wp:extent cx="5143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18"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In addition to the common stock equivalents in the table above, the computations of weighted-average diluted common shares for the three and nine months ended September 30, 2026 exclude 122,565 unvested PSUs as of September 30, 2026 for which vesting is contingent upon the future achievement of performance conditions.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Segment Information</w:t>
      </w:r>
    </w:p>
    <w:p>
      <w:pPr>
        <w:spacing w:after="0" w:line="121"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Operating segments are identified as components of an enterprise about which separate discrete financial information is available for evaluation by the chief operating decision maker (CODM), or decision-making group, in making decisions on how to allocate resources and assess performance. The Company’s CODM, its Chief Executive Officer, views the Company’s operations and manages the business as one operating segment focused on the development and commercialization of gene therapies to treat an array of diseases. The determination of a single operating segment is consistent with the consolidated financial information regularly provided to the CODM.</w:t>
      </w:r>
    </w:p>
    <w:p>
      <w:pPr>
        <w:spacing w:after="0" w:line="183"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 CODM reviews and evaluates consolidated net income (loss) for purposes of assessing performance, making operating decisions and allocating resources. The CODM uses net income (loss) to assess performance versus operating budgets and in the preparation of near-term and long-range operating plans to inform decisions on resource and capital allocation. The CODM reviews consolidated cash, cash equivalents and marketable securities as a measure of segment assets. As of September 30, 2026 and December 31, 2025, the Company’s cash, cash equivalents and marketable securities were $251.0 million and $240.9 million, respectively.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27"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segment revenues, significant segment expenses regularly provided to the CODM, other segment items and consolidated net loss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20" w:type="dxa"/>
            <w:vAlign w:val="bottom"/>
            <w:gridSpan w:val="6"/>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00" w:type="dxa"/>
            <w:vAlign w:val="bottom"/>
          </w:tcPr>
          <w:p>
            <w:pPr>
              <w:spacing w:after="0"/>
              <w:rPr>
                <w:sz w:val="15"/>
                <w:szCs w:val="15"/>
                <w:color w:val="auto"/>
              </w:rPr>
            </w:pPr>
          </w:p>
        </w:tc>
        <w:tc>
          <w:tcPr>
            <w:tcW w:w="2720" w:type="dxa"/>
            <w:vAlign w:val="bottom"/>
            <w:gridSpan w:val="6"/>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5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43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3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43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3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r>
      <w:tr>
        <w:trPr>
          <w:trHeight w:val="210"/>
        </w:trPr>
        <w:tc>
          <w:tcPr>
            <w:tcW w:w="580" w:type="dxa"/>
            <w:vAlign w:val="bottom"/>
          </w:tcPr>
          <w:p>
            <w:pPr>
              <w:spacing w:after="0"/>
              <w:rPr>
                <w:sz w:val="18"/>
                <w:szCs w:val="18"/>
                <w:color w:val="auto"/>
              </w:rPr>
            </w:pPr>
          </w:p>
        </w:tc>
        <w:tc>
          <w:tcPr>
            <w:tcW w:w="4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9,162</w:t>
            </w:r>
          </w:p>
        </w:tc>
        <w:tc>
          <w:tcPr>
            <w:tcW w:w="12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29,733</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123,574</w:t>
            </w:r>
          </w:p>
        </w:tc>
        <w:tc>
          <w:tcPr>
            <w:tcW w:w="12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140,104</w:t>
            </w:r>
          </w:p>
        </w:tc>
        <w:tc>
          <w:tcPr>
            <w:tcW w:w="120" w:type="dxa"/>
            <w:vAlign w:val="bottom"/>
            <w:shd w:val="clear" w:color="auto" w:fill="CFF0FC"/>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18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Cost of license and royalty revenues</w:t>
            </w: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1,141</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5,725</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13,257</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14,370</w:t>
            </w:r>
          </w:p>
        </w:tc>
        <w:tc>
          <w:tcPr>
            <w:tcW w:w="120" w:type="dxa"/>
            <w:vAlign w:val="bottom"/>
            <w:shd w:val="clear" w:color="auto" w:fill="CFF0FC"/>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1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1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Personnel</w:t>
            </w: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18,544</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18,464</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57,483</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55,153</w:t>
            </w:r>
          </w:p>
        </w:tc>
        <w:tc>
          <w:tcPr>
            <w:tcW w:w="120" w:type="dxa"/>
            <w:vAlign w:val="bottom"/>
            <w:shd w:val="clear" w:color="auto" w:fill="CFF0FC"/>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Direct development and support (a)</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32,478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26,800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81,860</w:t>
            </w:r>
          </w:p>
        </w:tc>
        <w:tc>
          <w:tcPr>
            <w:tcW w:w="12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1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Facilities</w:t>
            </w: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3,293</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2,946</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8,996</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8,467</w:t>
            </w:r>
          </w:p>
        </w:tc>
        <w:tc>
          <w:tcPr>
            <w:tcW w:w="120" w:type="dxa"/>
            <w:vAlign w:val="bottom"/>
            <w:shd w:val="clear" w:color="auto" w:fill="CFF0FC"/>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12,181</w:t>
            </w:r>
          </w:p>
        </w:tc>
        <w:tc>
          <w:tcPr>
            <w:tcW w:w="12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180" w:type="dxa"/>
            <w:vAlign w:val="bottom"/>
            <w:tcBorders>
              <w:bottom w:val="single" w:sz="8" w:color="CFF0FC"/>
            </w:tcBorders>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3,317</w:t>
            </w: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3,646</w:t>
            </w:r>
          </w:p>
        </w:tc>
        <w:tc>
          <w:tcPr>
            <w:tcW w:w="2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10,467</w:t>
            </w: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11,027</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4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research and development expense</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61,009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56,101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174,434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168,688</w:t>
            </w:r>
          </w:p>
        </w:tc>
        <w:tc>
          <w:tcPr>
            <w:tcW w:w="12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18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Personnel</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17,812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17,055</w:t>
            </w:r>
          </w:p>
        </w:tc>
        <w:tc>
          <w:tcPr>
            <w:tcW w:w="12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1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general and administrative (b)</w:t>
            </w: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8,560</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8,331</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26,233</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24,751</w:t>
            </w:r>
          </w:p>
        </w:tc>
        <w:tc>
          <w:tcPr>
            <w:tcW w:w="120" w:type="dxa"/>
            <w:vAlign w:val="bottom"/>
            <w:shd w:val="clear" w:color="auto" w:fill="CFF0FC"/>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Facilities</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3,951</w:t>
            </w:r>
          </w:p>
        </w:tc>
        <w:tc>
          <w:tcPr>
            <w:tcW w:w="12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1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4,743</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4,753</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14,802</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14,007</w:t>
            </w:r>
          </w:p>
        </w:tc>
        <w:tc>
          <w:tcPr>
            <w:tcW w:w="120" w:type="dxa"/>
            <w:vAlign w:val="bottom"/>
            <w:shd w:val="clear" w:color="auto" w:fill="CFF0FC"/>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120" w:type="dxa"/>
            <w:vAlign w:val="bottom"/>
          </w:tcPr>
          <w:p>
            <w:pPr>
              <w:spacing w:after="0"/>
              <w:rPr>
                <w:sz w:val="18"/>
                <w:szCs w:val="18"/>
                <w:color w:val="auto"/>
              </w:rPr>
            </w:pPr>
          </w:p>
        </w:tc>
      </w:tr>
      <w:tr>
        <w:trPr>
          <w:trHeight w:val="209"/>
        </w:trPr>
        <w:tc>
          <w:tcPr>
            <w:tcW w:w="580" w:type="dxa"/>
            <w:vAlign w:val="bottom"/>
          </w:tcPr>
          <w:p>
            <w:pPr>
              <w:spacing w:after="0"/>
              <w:rPr>
                <w:sz w:val="18"/>
                <w:szCs w:val="18"/>
                <w:color w:val="auto"/>
              </w:rPr>
            </w:pPr>
          </w:p>
        </w:tc>
        <w:tc>
          <w:tcPr>
            <w:tcW w:w="418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general and administrative expense</w:t>
            </w: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20,579</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20,253</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63,501</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60,483</w:t>
            </w:r>
          </w:p>
        </w:tc>
        <w:tc>
          <w:tcPr>
            <w:tcW w:w="120" w:type="dxa"/>
            <w:vAlign w:val="bottom"/>
            <w:shd w:val="clear" w:color="auto" w:fill="CFF0FC"/>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segment items (c)</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32,829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(9,595)</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19,538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(23,292)</w:t>
            </w:r>
          </w:p>
        </w:tc>
      </w:tr>
      <w:tr>
        <w:trPr>
          <w:trHeight w:val="20"/>
        </w:trPr>
        <w:tc>
          <w:tcPr>
            <w:tcW w:w="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580" w:type="dxa"/>
            <w:vAlign w:val="bottom"/>
          </w:tcPr>
          <w:p>
            <w:pPr>
              <w:spacing w:after="0"/>
              <w:rPr>
                <w:sz w:val="21"/>
                <w:szCs w:val="21"/>
                <w:color w:val="auto"/>
              </w:rPr>
            </w:pPr>
          </w:p>
        </w:tc>
        <w:tc>
          <w:tcPr>
            <w:tcW w:w="418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(40,738)</w:t>
            </w:r>
          </w:p>
        </w:tc>
        <w:tc>
          <w:tcPr>
            <w:tcW w:w="3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(61,941)</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(108,080)</w:t>
            </w:r>
          </w:p>
        </w:tc>
        <w:tc>
          <w:tcPr>
            <w:tcW w:w="3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(126,729)</w:t>
            </w:r>
          </w:p>
        </w:tc>
      </w:tr>
      <w:tr>
        <w:trPr>
          <w:trHeight w:val="102"/>
        </w:trPr>
        <w:tc>
          <w:tcPr>
            <w:tcW w:w="580" w:type="dxa"/>
            <w:vAlign w:val="bottom"/>
            <w:tcBorders>
              <w:bottom w:val="single" w:sz="8" w:color="auto"/>
            </w:tcBorders>
          </w:tcPr>
          <w:p>
            <w:pPr>
              <w:spacing w:after="0"/>
              <w:rPr>
                <w:sz w:val="8"/>
                <w:szCs w:val="8"/>
                <w:color w:val="auto"/>
              </w:rPr>
            </w:pPr>
          </w:p>
        </w:tc>
        <w:tc>
          <w:tcPr>
            <w:tcW w:w="920" w:type="dxa"/>
            <w:vAlign w:val="bottom"/>
            <w:tcBorders>
              <w:top w:val="single" w:sz="8" w:color="CFF0FC"/>
              <w:bottom w:val="single" w:sz="8" w:color="auto"/>
            </w:tcBorders>
          </w:tcPr>
          <w:p>
            <w:pPr>
              <w:spacing w:after="0"/>
              <w:rPr>
                <w:sz w:val="8"/>
                <w:szCs w:val="8"/>
                <w:color w:val="auto"/>
              </w:rPr>
            </w:pPr>
          </w:p>
        </w:tc>
        <w:tc>
          <w:tcPr>
            <w:tcW w:w="3260" w:type="dxa"/>
            <w:vAlign w:val="bottom"/>
            <w:tcBorders>
              <w:top w:val="single" w:sz="8" w:color="CFF0FC"/>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1120" w:type="dxa"/>
            <w:vAlign w:val="bottom"/>
            <w:tcBorders>
              <w:top w:val="single" w:sz="8" w:color="auto"/>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80" w:type="dxa"/>
            <w:vAlign w:val="bottom"/>
            <w:tcBorders>
              <w:top w:val="single" w:sz="8" w:color="CFF0FC"/>
            </w:tcBorders>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1000" w:type="dxa"/>
            <w:vAlign w:val="bottom"/>
            <w:tcBorders>
              <w:top w:val="single" w:sz="8" w:color="auto"/>
            </w:tcBorders>
          </w:tcPr>
          <w:p>
            <w:pPr>
              <w:spacing w:after="0"/>
              <w:rPr>
                <w:sz w:val="8"/>
                <w:szCs w:val="8"/>
                <w:color w:val="auto"/>
              </w:rPr>
            </w:pPr>
          </w:p>
        </w:tc>
        <w:tc>
          <w:tcPr>
            <w:tcW w:w="200" w:type="dxa"/>
            <w:vAlign w:val="bottom"/>
            <w:tcBorders>
              <w:top w:val="single" w:sz="8" w:color="CFF0FC"/>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1100" w:type="dxa"/>
            <w:vAlign w:val="bottom"/>
            <w:tcBorders>
              <w:top w:val="single" w:sz="8" w:color="auto"/>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80" w:type="dxa"/>
            <w:vAlign w:val="bottom"/>
            <w:tcBorders>
              <w:top w:val="single" w:sz="8" w:color="CFF0FC"/>
            </w:tcBorders>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1000" w:type="dxa"/>
            <w:vAlign w:val="bottom"/>
            <w:tcBorders>
              <w:top w:val="single" w:sz="8" w:color="auto"/>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-1508125</wp:posOffset>
            </wp:positionV>
            <wp:extent cx="6032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-1508125</wp:posOffset>
            </wp:positionV>
            <wp:extent cx="6032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-1508125</wp:posOffset>
            </wp:positionV>
            <wp:extent cx="6032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-1508125</wp:posOffset>
            </wp:positionV>
            <wp:extent cx="685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-110490</wp:posOffset>
            </wp:positionV>
            <wp:extent cx="6032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-93345</wp:posOffset>
            </wp:positionV>
            <wp:extent cx="6032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-110490</wp:posOffset>
            </wp:positionV>
            <wp:extent cx="6032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-93345</wp:posOffset>
            </wp:positionV>
            <wp:extent cx="6032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-110490</wp:posOffset>
            </wp:positionV>
            <wp:extent cx="6032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-93345</wp:posOffset>
            </wp:positionV>
            <wp:extent cx="6032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-110490</wp:posOffset>
            </wp:positionV>
            <wp:extent cx="6858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-93345</wp:posOffset>
            </wp:positionV>
            <wp:extent cx="6858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 w:lineRule="exact"/>
        <w:rPr>
          <w:sz w:val="20"/>
          <w:szCs w:val="20"/>
          <w:color w:val="auto"/>
        </w:rPr>
      </w:pPr>
    </w:p>
    <w:p>
      <w:pPr>
        <w:jc w:val="both"/>
        <w:ind w:left="520" w:right="80" w:hanging="512"/>
        <w:spacing w:after="0" w:line="266" w:lineRule="auto"/>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development and support includes external goods and services for the development of product candidates and early-stage research activities, laboratory costs, consulting, development cost reimbursement to and from collaborators and other expenses in support of research and development activities.</w:t>
      </w:r>
    </w:p>
    <w:p>
      <w:pPr>
        <w:ind w:left="520" w:right="260" w:hanging="512"/>
        <w:spacing w:after="0" w:line="266" w:lineRule="auto"/>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general and administrative expenses include professional and administrative services, consulting, commercialization expenses, commercial cost reimbursement to and from collaborators and other corporate overhead expenses.</w:t>
      </w:r>
    </w:p>
    <w:p>
      <w:pPr>
        <w:ind w:left="520" w:right="280" w:hanging="512"/>
        <w:spacing w:after="0" w:line="282" w:lineRule="auto"/>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segment items include gain on litigation settlement, other operating expenses (income), interest income from licensing, investment income and interest expense.</w:t>
      </w:r>
    </w:p>
    <w:p>
      <w:pPr>
        <w:spacing w:after="0" w:line="202"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The Company’s interest income included interest income from licensing as presented in the consolidated statements of operations and comprehensive loss, as well as interest income from investments of $2.3 million and $5.5 million during the three and nine months ended September 30, 2026, respectively, and $3.6 million and $9.4 million during the three and nine months ended September 30, 2025, respectively, which is included within investment income in the consolidated statements of operations and comprehensive loss.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substantial majority of the Company’s assets reside in the United States.</w:t>
      </w:r>
    </w:p>
    <w:p>
      <w:pPr>
        <w:spacing w:after="0" w:line="329" w:lineRule="exact"/>
        <w:rPr>
          <w:sz w:val="20"/>
          <w:szCs w:val="20"/>
          <w:color w:val="auto"/>
        </w:rPr>
      </w:pPr>
    </w:p>
    <w:p>
      <w:pPr>
        <w:ind w:left="520" w:right="8980" w:hanging="512"/>
        <w:spacing w:after="0" w:line="378" w:lineRule="auto"/>
        <w:tabs>
          <w:tab w:leader="none" w:pos="281"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Supplemental Disclosures </w:t>
      </w:r>
      <w:r>
        <w:rPr>
          <w:rFonts w:ascii="Times New Roman" w:cs="Times New Roman" w:eastAsia="Times New Roman" w:hAnsi="Times New Roman"/>
          <w:sz w:val="18"/>
          <w:szCs w:val="18"/>
          <w:b w:val="1"/>
          <w:bCs w:val="1"/>
          <w:i w:val="1"/>
          <w:iCs w:val="1"/>
          <w:color w:val="auto"/>
        </w:rPr>
        <w:t>Other Current Assets</w:t>
      </w: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Other current assets consisted of the following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4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200" w:type="dxa"/>
            <w:vAlign w:val="bottom"/>
            <w:gridSpan w:val="2"/>
          </w:tcPr>
          <w:p>
            <w:pPr>
              <w:spacing w:after="0"/>
              <w:rPr>
                <w:sz w:val="15"/>
                <w:szCs w:val="15"/>
                <w:color w:val="auto"/>
              </w:rPr>
            </w:pPr>
          </w:p>
        </w:tc>
      </w:tr>
      <w:tr>
        <w:trPr>
          <w:trHeight w:val="209"/>
        </w:trPr>
        <w:tc>
          <w:tcPr>
            <w:tcW w:w="1140" w:type="dxa"/>
            <w:vAlign w:val="bottom"/>
          </w:tcPr>
          <w:p>
            <w:pPr>
              <w:spacing w:after="0"/>
              <w:rPr>
                <w:sz w:val="18"/>
                <w:szCs w:val="18"/>
                <w:color w:val="auto"/>
              </w:rPr>
            </w:pPr>
          </w:p>
        </w:tc>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Settlement payment due from Sarepta</w:t>
            </w:r>
          </w:p>
        </w:tc>
        <w:tc>
          <w:tcPr>
            <w:tcW w:w="1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39,000</w:t>
            </w: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Net cost reimbursement due from AbbVie</w:t>
            </w: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10,871</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interest on investments</w:t>
            </w:r>
          </w:p>
        </w:tc>
        <w:tc>
          <w:tcPr>
            <w:tcW w:w="15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5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49"/>
        </w:trPr>
        <w:tc>
          <w:tcPr>
            <w:tcW w:w="1140" w:type="dxa"/>
            <w:vAlign w:val="bottom"/>
          </w:tcPr>
          <w:p>
            <w:pPr>
              <w:spacing w:after="0"/>
              <w:rPr>
                <w:sz w:val="21"/>
                <w:szCs w:val="21"/>
                <w:color w:val="auto"/>
              </w:rPr>
            </w:pPr>
          </w:p>
        </w:tc>
        <w:tc>
          <w:tcPr>
            <w:tcW w:w="3720" w:type="dxa"/>
            <w:vAlign w:val="bottom"/>
            <w:shd w:val="clear" w:color="auto" w:fill="CFF0FC"/>
          </w:tcPr>
          <w:p>
            <w:pPr>
              <w:spacing w:after="0"/>
              <w:rPr>
                <w:sz w:val="21"/>
                <w:szCs w:val="21"/>
                <w:color w:val="auto"/>
              </w:rPr>
            </w:pPr>
          </w:p>
        </w:tc>
        <w:tc>
          <w:tcPr>
            <w:tcW w:w="1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48,146</w:t>
            </w: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12,905</w:t>
            </w: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r>
      <w:tr>
        <w:trPr>
          <w:trHeight w:val="629"/>
        </w:trPr>
        <w:tc>
          <w:tcPr>
            <w:tcW w:w="1140" w:type="dxa"/>
            <w:vAlign w:val="bottom"/>
          </w:tcPr>
          <w:p>
            <w:pPr>
              <w:spacing w:after="0"/>
              <w:rPr>
                <w:sz w:val="24"/>
                <w:szCs w:val="24"/>
                <w:color w:val="auto"/>
              </w:rPr>
            </w:pPr>
          </w:p>
        </w:tc>
        <w:tc>
          <w:tcPr>
            <w:tcW w:w="3720" w:type="dxa"/>
            <w:vAlign w:val="bottom"/>
            <w:tcBorders>
              <w:top w:val="single" w:sz="8" w:color="CFF0FC"/>
            </w:tcBorders>
          </w:tcPr>
          <w:p>
            <w:pPr>
              <w:spacing w:after="0"/>
              <w:rPr>
                <w:sz w:val="24"/>
                <w:szCs w:val="24"/>
                <w:color w:val="auto"/>
              </w:rPr>
            </w:pPr>
          </w:p>
        </w:tc>
        <w:tc>
          <w:tcPr>
            <w:tcW w:w="1580" w:type="dxa"/>
            <w:vAlign w:val="bottom"/>
            <w:tcBorders>
              <w:top w:val="single" w:sz="8" w:color="CFF0FC"/>
            </w:tcBorders>
          </w:tcPr>
          <w:p>
            <w:pPr>
              <w:jc w:val="right"/>
              <w:ind w:right="630"/>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tcBorders>
              <w:top w:val="single" w:sz="8" w:color="auto"/>
            </w:tcBorders>
          </w:tcPr>
          <w:p>
            <w:pPr>
              <w:spacing w:after="0"/>
              <w:rPr>
                <w:sz w:val="24"/>
                <w:szCs w:val="24"/>
                <w:color w:val="auto"/>
              </w:rPr>
            </w:pPr>
          </w:p>
        </w:tc>
        <w:tc>
          <w:tcPr>
            <w:tcW w:w="154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52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120" w:type="dxa"/>
            <w:vAlign w:val="bottom"/>
          </w:tcPr>
          <w:p>
            <w:pPr>
              <w:spacing w:after="0"/>
              <w:rPr>
                <w:sz w:val="24"/>
                <w:szCs w:val="24"/>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372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-933450</wp:posOffset>
            </wp:positionV>
            <wp:extent cx="51435"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-916305</wp:posOffset>
            </wp:positionV>
            <wp:extent cx="51435"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-933450</wp:posOffset>
            </wp:positionV>
            <wp:extent cx="51435"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-916305</wp:posOffset>
            </wp:positionV>
            <wp:extent cx="51435"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5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 and Other Current Liabilities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4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200" w:type="dxa"/>
            <w:vAlign w:val="bottom"/>
            <w:gridSpan w:val="2"/>
          </w:tcPr>
          <w:p>
            <w:pPr>
              <w:spacing w:after="0"/>
              <w:rPr>
                <w:sz w:val="15"/>
                <w:szCs w:val="15"/>
                <w:color w:val="auto"/>
              </w:rPr>
            </w:pPr>
          </w:p>
        </w:tc>
      </w:tr>
      <w:tr>
        <w:trPr>
          <w:trHeight w:val="209"/>
        </w:trPr>
        <w:tc>
          <w:tcPr>
            <w:tcW w:w="1140" w:type="dxa"/>
            <w:vAlign w:val="bottom"/>
          </w:tcPr>
          <w:p>
            <w:pPr>
              <w:spacing w:after="0"/>
              <w:rPr>
                <w:sz w:val="18"/>
                <w:szCs w:val="18"/>
                <w:color w:val="auto"/>
              </w:rPr>
            </w:pPr>
          </w:p>
        </w:tc>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personnel costs</w:t>
            </w: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16,037</w:t>
            </w: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17,418</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Accrued external research and development expenses</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10,229</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external general and administrative expenses</w:t>
            </w:r>
          </w:p>
        </w:tc>
        <w:tc>
          <w:tcPr>
            <w:tcW w:w="1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1,880</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1,301</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Accrued royalties and sublicense fees</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8,652</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purchases of property and equipment</w:t>
            </w:r>
          </w:p>
        </w:tc>
        <w:tc>
          <w:tcPr>
            <w:tcW w:w="1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1,890</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50"/>
        </w:trPr>
        <w:tc>
          <w:tcPr>
            <w:tcW w:w="1140" w:type="dxa"/>
            <w:vAlign w:val="bottom"/>
          </w:tcPr>
          <w:p>
            <w:pPr>
              <w:spacing w:after="0"/>
              <w:rPr>
                <w:sz w:val="21"/>
                <w:szCs w:val="21"/>
                <w:color w:val="auto"/>
              </w:rPr>
            </w:pPr>
          </w:p>
        </w:tc>
        <w:tc>
          <w:tcPr>
            <w:tcW w:w="414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29,611</w:t>
            </w: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38,390</w:t>
            </w: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r>
      <w:tr>
        <w:trPr>
          <w:trHeight w:val="628"/>
        </w:trPr>
        <w:tc>
          <w:tcPr>
            <w:tcW w:w="1140" w:type="dxa"/>
            <w:vAlign w:val="bottom"/>
          </w:tcPr>
          <w:p>
            <w:pPr>
              <w:spacing w:after="0"/>
              <w:rPr>
                <w:sz w:val="24"/>
                <w:szCs w:val="24"/>
                <w:color w:val="auto"/>
              </w:rPr>
            </w:pPr>
          </w:p>
        </w:tc>
        <w:tc>
          <w:tcPr>
            <w:tcW w:w="4140" w:type="dxa"/>
            <w:vAlign w:val="bottom"/>
            <w:tcBorders>
              <w:top w:val="single" w:sz="8" w:color="CFF0FC"/>
            </w:tcBorders>
          </w:tcPr>
          <w:p>
            <w:pPr>
              <w:spacing w:after="0"/>
              <w:rPr>
                <w:sz w:val="24"/>
                <w:szCs w:val="24"/>
                <w:color w:val="auto"/>
              </w:rPr>
            </w:pPr>
          </w:p>
        </w:tc>
        <w:tc>
          <w:tcPr>
            <w:tcW w:w="1160" w:type="dxa"/>
            <w:vAlign w:val="bottom"/>
            <w:tcBorders>
              <w:top w:val="single" w:sz="8" w:color="CFF0FC"/>
            </w:tcBorders>
          </w:tcPr>
          <w:p>
            <w:pPr>
              <w:jc w:val="right"/>
              <w:ind w:right="630"/>
              <w:spacing w:after="0"/>
              <w:rPr>
                <w:sz w:val="20"/>
                <w:szCs w:val="20"/>
                <w:color w:val="auto"/>
              </w:rPr>
            </w:pPr>
            <w:r>
              <w:rPr>
                <w:rFonts w:ascii="Times New Roman" w:cs="Times New Roman" w:eastAsia="Times New Roman" w:hAnsi="Times New Roman"/>
                <w:sz w:val="18"/>
                <w:szCs w:val="18"/>
                <w:color w:val="auto"/>
              </w:rPr>
              <w:t>29</w:t>
            </w:r>
          </w:p>
        </w:tc>
        <w:tc>
          <w:tcPr>
            <w:tcW w:w="160" w:type="dxa"/>
            <w:vAlign w:val="bottom"/>
            <w:tcBorders>
              <w:top w:val="single" w:sz="8" w:color="auto"/>
            </w:tcBorders>
          </w:tcPr>
          <w:p>
            <w:pPr>
              <w:spacing w:after="0"/>
              <w:rPr>
                <w:sz w:val="24"/>
                <w:szCs w:val="24"/>
                <w:color w:val="auto"/>
              </w:rPr>
            </w:pPr>
          </w:p>
        </w:tc>
        <w:tc>
          <w:tcPr>
            <w:tcW w:w="154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52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120" w:type="dxa"/>
            <w:vAlign w:val="bottom"/>
          </w:tcPr>
          <w:p>
            <w:pPr>
              <w:spacing w:after="0"/>
              <w:rPr>
                <w:sz w:val="24"/>
                <w:szCs w:val="24"/>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41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-933450</wp:posOffset>
            </wp:positionV>
            <wp:extent cx="5143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-916305</wp:posOffset>
            </wp:positionV>
            <wp:extent cx="5143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-933450</wp:posOffset>
            </wp:positionV>
            <wp:extent cx="5143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-916305</wp:posOffset>
            </wp:positionV>
            <wp:extent cx="5143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in conjunction with the financial statements and the notes thereto included elsewhere in this Quarterly Report on Form 10-Q and with our audited financial statements and the notes thereto included in our Annual Report on Form 10-K for the year ended December 31, 2025, which we filed with the SEC on March 5, 2026. In addition, you should read the “Risk Factors” and “Information Regarding Forward-Looking Statements” sections of this Quarterly Report on Form 10-Q and our Annual Report on Form 10-K for the year ended December 31, 2025 for a discussion of important factors that could cause actual results to differ materially from the results described in or implied by the forward-looking statements contained in the following discussion and analysis.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We are a leading clinical-stage biotechnology company seeking to improve lives through the curative potential of gene therapy. Our investigational gene therapies are designed to deliver functional genes to address genetic defects in cells, enabling the production of therapeutic proteins or antibodies that are intended to impact disease. Through a single administration, gene therapy could potentially alter the course of disease significantly and deliver improved patient outcomes with long-lasting effects.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 of Product Candidates</w:t>
      </w:r>
    </w:p>
    <w:p>
      <w:pPr>
        <w:spacing w:after="0" w:line="121"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We have developed a broad pipeline of gene therapy programs using our proprietary adeno-associated virus (AAV) gene therapy delivery platform (NAV Technology Platform) as a one-time treatment to address an array of diseases. Our lead programs and product candidates are described below.</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Sura-vec (ABBV-RGX-314)</w:t>
      </w:r>
    </w:p>
    <w:p>
      <w:pPr>
        <w:spacing w:after="0" w:line="121" w:lineRule="exact"/>
        <w:rPr>
          <w:sz w:val="20"/>
          <w:szCs w:val="20"/>
          <w:color w:val="auto"/>
        </w:rPr>
      </w:pPr>
    </w:p>
    <w:p>
      <w:pPr>
        <w:ind w:right="60" w:firstLine="509"/>
        <w:spacing w:after="0" w:line="239" w:lineRule="auto"/>
        <w:rPr>
          <w:sz w:val="20"/>
          <w:szCs w:val="20"/>
          <w:color w:val="auto"/>
        </w:rPr>
      </w:pPr>
      <w:r>
        <w:rPr>
          <w:rFonts w:ascii="Times New Roman" w:cs="Times New Roman" w:eastAsia="Times New Roman" w:hAnsi="Times New Roman"/>
          <w:sz w:val="18"/>
          <w:szCs w:val="18"/>
          <w:color w:val="auto"/>
        </w:rPr>
        <w:t>We are developing ABBV-RGX-314 (surabgene lomparvovec, sura-vec) in collaboration with AbbVie as a potential one-time treatment for chronic retinal conditions that cause total or partial vision loss, including wet age-related macular degeneration (wet AMD) and diabetic retinopathy (DR). In wet AMD, sura-vec is currently being evaluated in multiple clinical trials utilizing subretinal delivery, including two pivotal trials (ATMOSPHERE and ASCENT) where enrollment has been completed, one long-term follow-up study and a fellow eye sub-study. In DR, we are actively enrolling a pivotal, two-part Phase IIb/III study (NAAVIGATE) using suprachoroidal delivery. In addition to these late-stage pivotal programs, sura-vec is being evaluated in two Phase II clinical trials in patients with wet AMD (AAVIATE) and DR (ALTITUDE), which are ongoing along with two corresponding long-term follow-up studies, all utilizing in-office suprachoroidal delivery. Within the Phase II study in DR, we are also evaluating sura-vec in diabetic macular edema (DME). Sura-vec uses the NAV</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AAV8 vector to deliver a gene encoding a therapeutic antibody fragment to inhibit vascular endothelial growth factor (VEGF). We have licensed certain exclusive rights to the SCS Microinjector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from Clearside Biomedical, Inc. (Clearside) to deliver gene therapy treatments to the suprachoroidal space of the eye.</w:t>
      </w:r>
    </w:p>
    <w:p>
      <w:pPr>
        <w:spacing w:after="0" w:line="3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Sura-vec for Treatment of Wet AMD</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Subretinal Delivery</w:t>
      </w:r>
    </w:p>
    <w:p>
      <w:pPr>
        <w:spacing w:after="0" w:line="133" w:lineRule="exact"/>
        <w:rPr>
          <w:sz w:val="20"/>
          <w:szCs w:val="20"/>
          <w:color w:val="auto"/>
        </w:rPr>
      </w:pPr>
    </w:p>
    <w:p>
      <w:pPr>
        <w:ind w:right="140" w:firstLine="509"/>
        <w:spacing w:after="0" w:line="236" w:lineRule="auto"/>
        <w:rPr>
          <w:sz w:val="20"/>
          <w:szCs w:val="20"/>
          <w:color w:val="auto"/>
        </w:rPr>
      </w:pPr>
      <w:r>
        <w:rPr>
          <w:rFonts w:ascii="Times New Roman" w:cs="Times New Roman" w:eastAsia="Times New Roman" w:hAnsi="Times New Roman"/>
          <w:sz w:val="18"/>
          <w:szCs w:val="18"/>
          <w:color w:val="auto"/>
        </w:rPr>
        <w:t>ATMOSPHERE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ASCENT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are multi-center, randomized, active-controlled trials evaluating sura-vec versus monthly ranibizumab and aflibercept, respectively. The primary endpoint in both studies is non-inferiority based on change from baseline in best-corrected visual acuity (BCVA) at 54 weeks. Secondary endpoints include safety and tolerability, change in central retinal thickness (CRT) and need for supplemental anti-VEGF injections in the treatment arms.</w:t>
      </w:r>
    </w:p>
    <w:p>
      <w:pPr>
        <w:spacing w:after="0" w:line="198"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Enrollment in the ATMOSPHERE and ASCENT pivotal trials for the treatment of patients with wet AMD using subretinal delivery was completed in October 2025. These trials, which together enrolled over 1,300 participants across more than 200 sites, are expected to support global regulatory submissions including with the U.S. Food and Drug Administration (FDA) and the European Medicines Agency (EMA). Topline data from these trials are expected to be announced in the fourth quarter of 2026 in partnership with AbbVie, with global regulatory submissions expected in 2027.</w:t>
      </w:r>
    </w:p>
    <w:p>
      <w:pPr>
        <w:spacing w:after="0" w:line="180"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clinical development program evaluating subretinal sura-vec in wet AMD encompasses multiple clinical studies and sub-studies which together are designed to establish a broad and robust body of clinical evidence. The program has enrolled a diverse spectrum of patients, including those with high disease activity and bilateral disease, with the intent of supporting the potential applicability of sura-vec across a broad patient population. The program also includes ODYSSEY, a retrospective comparative analysis evaluating outcomes in sura-vec-treated patients against matched real-world controls. Additionally, AbbVie is enrolling ACHIEVE, a global, randomized, controlled Phase 3b study to assess the injection burden, efficacy, safety and long-term preservation of vision in a real-world context.</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27"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In July 2026, we presented long-term follow-up data from the Phase I/IIa trial that demonstrated a durable safety and efficacy profile through five years, with participants in Cohorts 3 and 4, who received subretinal sura-vec at doses similar to those being studied in the ATMOSPHERE and ASCENT pivotal trials, demonstrating stable to improved visual acuity and meaningful reductions in anti-VEGF treatment burden, with the exception of one participant in Cohort 4 with polypoidal choroidal vasculopathy refractory to anti-VEGF therapy.</w:t>
      </w:r>
    </w:p>
    <w:p>
      <w:pPr>
        <w:spacing w:after="0" w:line="180"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In October 2026, we held an investor event during which we reviewed the clinical development to date, including data from select Phase I/II studies, and discussed the unmet need and potential role of sura-vec in wet AMD with retina experts. A copy of that presentation is available on our website.</w:t>
      </w:r>
    </w:p>
    <w:p>
      <w:pPr>
        <w:spacing w:after="0" w:line="2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Suprachoroidal Delivery</w:t>
      </w:r>
    </w:p>
    <w:p>
      <w:pPr>
        <w:spacing w:after="0" w:line="133" w:lineRule="exact"/>
        <w:rPr>
          <w:sz w:val="20"/>
          <w:szCs w:val="20"/>
          <w:color w:val="auto"/>
        </w:rPr>
      </w:pPr>
    </w:p>
    <w:p>
      <w:pPr>
        <w:ind w:right="80" w:firstLine="509"/>
        <w:spacing w:after="0" w:line="222" w:lineRule="auto"/>
        <w:rPr>
          <w:sz w:val="20"/>
          <w:szCs w:val="20"/>
          <w:color w:val="auto"/>
        </w:rPr>
      </w:pPr>
      <w:r>
        <w:rPr>
          <w:rFonts w:ascii="Times New Roman" w:cs="Times New Roman" w:eastAsia="Times New Roman" w:hAnsi="Times New Roman"/>
          <w:sz w:val="18"/>
          <w:szCs w:val="18"/>
          <w:color w:val="auto"/>
        </w:rPr>
        <w:t>The AAVIATE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trial is a multi-center, open label, randomized, controlled, dose-escalation Phase II trial to evaluate the efficacy, safety and tolerability of suprachoroidal delivery of sura-vec for the treatment of wet AMD. Based on the favorable safety profile observed as of July 29, 2024, the Phase II AAVIATE trial enrolled a cohort to evaluate sura-vec at dose level 4 (1.5x10</w:t>
      </w:r>
      <w:r>
        <w:rPr>
          <w:rFonts w:ascii="Times New Roman" w:cs="Times New Roman" w:eastAsia="Times New Roman" w:hAnsi="Times New Roman"/>
          <w:sz w:val="24"/>
          <w:szCs w:val="24"/>
          <w:color w:val="auto"/>
          <w:vertAlign w:val="superscript"/>
        </w:rPr>
        <w:t>12</w:t>
      </w:r>
      <w:r>
        <w:rPr>
          <w:rFonts w:ascii="Times New Roman" w:cs="Times New Roman" w:eastAsia="Times New Roman" w:hAnsi="Times New Roman"/>
          <w:sz w:val="18"/>
          <w:szCs w:val="18"/>
          <w:color w:val="auto"/>
        </w:rPr>
        <w:t xml:space="preserve"> GC/eye). Patients in this cohort received short course prophylactic steroid eye drops. Enrollment of the AAVIATE trial has been completed.</w:t>
      </w:r>
    </w:p>
    <w:p>
      <w:pPr>
        <w:spacing w:after="0" w:line="30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Sura-vec for Treatment of DR and DME</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In August 2025, we and AbbVie announced an amendment to our collaboration agreement and plans to initiate a pivotal program consisting of a Phase IIb/III trial (NAAVIGATE) as well as a second Phase III trial to evaluate sura-vec for the treatment of DR. NAAVIGATE is a two-part, multicenter, randomized, masked, sham-controlled Phase IIb/III study to evaluate the safety and efficacy of a one-time, in-office administration of sura-vec in subjects with non-proliferative diabetic retinopathy (NPDR) without center-involved diabetic macular edema (CI-DME). The primary endpoint is &gt;2-step improvement on the Diabetic Retinopathy Severity Scale (DRSS) at one year. We are actively enrolling the Phase IIb/III NAAVIGATE trial and, in June 2026, dosed the first patient in the Phase IIb portion of the trial, upon which we earned a $100.0 million milestone payment that was received from AbbVie in July 2026. Following an interim analysis of part one (Phase IIb) of the NAAVIGATE trial, we and AbbVie expect to initiate a Phase III expansion, including part two (Phase III) of the U.S. NAAVIGATE trial and a parallel global Phase III trial led by AbbVie.</w:t>
      </w:r>
    </w:p>
    <w:p>
      <w:pPr>
        <w:spacing w:after="0" w:line="205" w:lineRule="exact"/>
        <w:rPr>
          <w:sz w:val="20"/>
          <w:szCs w:val="20"/>
          <w:color w:val="auto"/>
        </w:rPr>
      </w:pPr>
    </w:p>
    <w:p>
      <w:pPr>
        <w:ind w:right="80" w:firstLine="509"/>
        <w:spacing w:after="0" w:line="230" w:lineRule="auto"/>
        <w:rPr>
          <w:sz w:val="20"/>
          <w:szCs w:val="20"/>
          <w:color w:val="auto"/>
        </w:rPr>
      </w:pPr>
      <w:r>
        <w:rPr>
          <w:rFonts w:ascii="Times New Roman" w:cs="Times New Roman" w:eastAsia="Times New Roman" w:hAnsi="Times New Roman"/>
          <w:sz w:val="18"/>
          <w:szCs w:val="18"/>
          <w:color w:val="auto"/>
        </w:rPr>
        <w:t>Concurrent with the August 2025 announcement, we announced positive two-year data from the Phase II ALTITUDE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trial. The ALTITUDE trial is a multi-center, open label, randomized, controlled, dose-escalation Phase II trial to evaluate the efficacy, safety and tolerability of sura-vec using suprachoroidal delivery for the treatment of DR. The positive two-year data showed sura-vec was well tolerated in subjects with NPDR at dose levels 1, 2, and 3. There were no drug-related serious adverse events and no intraocular inflammation was observed through two years at dose level 3 (1.0x10</w:t>
      </w:r>
      <w:r>
        <w:rPr>
          <w:rFonts w:ascii="Times New Roman" w:cs="Times New Roman" w:eastAsia="Times New Roman" w:hAnsi="Times New Roman"/>
          <w:sz w:val="24"/>
          <w:szCs w:val="24"/>
          <w:color w:val="auto"/>
          <w:vertAlign w:val="superscript"/>
        </w:rPr>
        <w:t>12</w:t>
      </w:r>
      <w:r>
        <w:rPr>
          <w:rFonts w:ascii="Times New Roman" w:cs="Times New Roman" w:eastAsia="Times New Roman" w:hAnsi="Times New Roman"/>
          <w:sz w:val="18"/>
          <w:szCs w:val="18"/>
          <w:color w:val="auto"/>
        </w:rPr>
        <w:t xml:space="preserve"> GC/eye) (n = 15) with short-course topical prophylactic steroids. Additionally, 50% of dose level 3 patients achieved at least a two-step improvement without need for any supplemental treatment.</w:t>
      </w:r>
    </w:p>
    <w:p>
      <w:pPr>
        <w:spacing w:after="0" w:line="203"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In 2026, we presented long-term follow-up data from the Phase II ALTITUDE trial that showed, among other findings, that participants at dose level 3 (1.0×10¹² GC/eye) with short-course prophylactic topical steroids, the same dose being evaluated in the Phase IIb/III NAAVIGATE trial, maintained a durable safety and efficacy profile through 2.5 years and 3 years. At 2.5 years, 55% of dose level 3 participants achieved &gt;2-step improvement on the DRSS without additional treatment, and 70% of participants experienced no vision-threatening events. 60% of all dose level 3 participants with three-year visits (n=6/10) achieved &gt;2-step improvement on the DRSS without additional treatment for diabetic retinopathy. These participants did not experience any vision-threatening events. Additionally, the majority of participants (n=3/4) who achieved a 1-step DRSS improvement at one year without supplemental anti-VEGF injections went on to achieve a &gt;2-step DRSS improvement by three years without additional treatment for diabetic retinopathy. These data are consistent with previously presented two-year dose level 3 NPDR data from the ALTITUDE trial and support the potential of one-time in-office sura-vec to modify the underlying disease and decrease risk of vision-threatening events.</w:t>
      </w:r>
    </w:p>
    <w:p>
      <w:pPr>
        <w:spacing w:after="0" w:line="2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RGX-202 for Treatment of Duchenne</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We are developing RGX-202 as an investigational AAV therapeutic for the treatment of Duchenne muscular dystrophy (Duchenne), using the NAV AAV8 vector to deliver a transgene for a novel microdystrophin that includes the functional elements of the C-Terminal domain as well as a muscle-specific promoter to support a targeted therapy for improved resistance to muscle damage associated with Duchenne. Other differentiating elements of RGX-202 include the proactive immune suppression regimen and in-house, state-of-the-art manufacturing that has demonstrated leading purity levels in Duchenne (&gt;80% full capsids).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40" w:lineRule="exact"/>
        <w:rPr>
          <w:sz w:val="20"/>
          <w:szCs w:val="20"/>
          <w:color w:val="auto"/>
        </w:rPr>
      </w:pPr>
    </w:p>
    <w:p>
      <w:pPr>
        <w:jc w:val="both"/>
        <w:ind w:right="60" w:firstLine="509"/>
        <w:spacing w:after="0" w:line="243" w:lineRule="auto"/>
        <w:rPr>
          <w:sz w:val="20"/>
          <w:szCs w:val="20"/>
          <w:color w:val="auto"/>
        </w:rPr>
      </w:pPr>
      <w:r>
        <w:rPr>
          <w:rFonts w:ascii="Times New Roman" w:cs="Times New Roman" w:eastAsia="Times New Roman" w:hAnsi="Times New Roman"/>
          <w:sz w:val="17"/>
          <w:szCs w:val="17"/>
          <w:color w:val="auto"/>
        </w:rPr>
        <w:t>AFFINITY DUCHENNE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 xml:space="preserve"> is an ongoing multicenter, open-label Phase I/II/III trial to evaluate the safety, tolerability and clinical efficacy of a one-time intravenous dose of RGX-202 in ambulatory patients with Duchenne aged 1 to 11 years old. Phase I/II results, reported between November 2024 and March 2026, demonstrated RGX-202 to be well tolerated with no serious adverse events or adverse events of special interest among all patients (n=13).</w:t>
      </w:r>
    </w:p>
    <w:p>
      <w:pPr>
        <w:spacing w:after="0" w:line="3"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17"/>
          <w:szCs w:val="17"/>
          <w:color w:val="auto"/>
        </w:rPr>
        <w:t>Additionally, we reported positive biomarker data showing consistent, high expression and transduction of RGX-202 microdystrophin, with all patients exceeding 10%. Pivotal dose (2x10</w:t>
      </w:r>
      <w:r>
        <w:rPr>
          <w:rFonts w:ascii="Times New Roman" w:cs="Times New Roman" w:eastAsia="Times New Roman" w:hAnsi="Times New Roman"/>
          <w:sz w:val="23"/>
          <w:szCs w:val="23"/>
          <w:color w:val="auto"/>
          <w:vertAlign w:val="superscript"/>
        </w:rPr>
        <w:t>14</w:t>
      </w:r>
      <w:r>
        <w:rPr>
          <w:rFonts w:ascii="Times New Roman" w:cs="Times New Roman" w:eastAsia="Times New Roman" w:hAnsi="Times New Roman"/>
          <w:sz w:val="17"/>
          <w:szCs w:val="17"/>
          <w:color w:val="auto"/>
        </w:rPr>
        <w:t xml:space="preserve"> GC/kg) participants in the Phase I/II exceeded expected disease trajectory on the North Star Ambulatory Assessment (NSAA) and other timed function tests at one year using multiple validated methods to estimate expected disease progression without treatment (n=7). Notably, five participants for whom functional data have been reported were aged eight or older at dosing, when functional decline is typically expected.</w:t>
      </w:r>
    </w:p>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October 2025, we announced that enrollment had completed in the pivotal portion of AFFINITY DUCHENNE (n=approximately 30).</w:t>
      </w:r>
    </w:p>
    <w:p>
      <w:pPr>
        <w:spacing w:after="0" w:line="225"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In May 2026, we announced positive topline results from the pivotal Phase III AFFINITY DUCHENNE trial of RGX-202, including primary endpoint (n=30 at Week 12), interim safety (n=31) and interim functional data (n=9 at 12 months):</w:t>
      </w:r>
    </w:p>
    <w:p>
      <w:pPr>
        <w:spacing w:after="0" w:line="162" w:lineRule="exact"/>
        <w:rPr>
          <w:sz w:val="20"/>
          <w:szCs w:val="20"/>
          <w:color w:val="auto"/>
        </w:rPr>
      </w:pPr>
    </w:p>
    <w:p>
      <w:pPr>
        <w:ind w:left="1020" w:right="4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primary endpoint was achieved with high statistical significance; 93% of patients achieved RGX-202 microdystrophin expression above 10% (p&lt;0.0001).</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RGX-202 was well-tolerated and continued to demonstrate a favorable interim safety profile.</w:t>
      </w:r>
    </w:p>
    <w:p>
      <w:pPr>
        <w:spacing w:after="0" w:line="117" w:lineRule="exact"/>
        <w:rPr>
          <w:rFonts w:ascii="Times New Roman" w:cs="Times New Roman" w:eastAsia="Times New Roman" w:hAnsi="Times New Roman"/>
          <w:sz w:val="18"/>
          <w:szCs w:val="18"/>
          <w:color w:val="auto"/>
        </w:rPr>
      </w:pPr>
    </w:p>
    <w:p>
      <w:pPr>
        <w:ind w:left="1020" w:right="52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RGX-202 demonstrated functional improvement and evidence of positively impacting disease trajectory at one year post-treatment, as measured by NSAA and timed function tests (Time to Stand, 10 Meter Walk-run, Time to Climb).</w:t>
      </w:r>
    </w:p>
    <w:p>
      <w:pPr>
        <w:spacing w:after="0" w:line="53"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Statistically significant correlation between RGX-202 microdystrophin expression level and functional improvement, supporting validity of surrogate endpoint.</w:t>
      </w:r>
    </w:p>
    <w:p>
      <w:pPr>
        <w:spacing w:after="0" w:line="162"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As of May 2026, in recent discussions, the FDA shared that the use of RGX-202 microdystrophin expression as a surrogate endpoint will be based on the correlation analysis with clinical outcomes, which has been clearly demonstrated in our interim data. While the FDA has recommended a randomized controlled trial, it has guided that externally controlled trials may be adequate for demonstrating substantial evidence of effectiveness, especially when the treatment effect is sufficiently large enough to overcome limitations of externally controlled trials.</w:t>
      </w:r>
    </w:p>
    <w:p>
      <w:pPr>
        <w:spacing w:after="0" w:line="180"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Given the positive topline pivotal data, continued favorable safety profile, and statistically significant correlation between microdystrophin and functional improvement, we expect to hold a pre-Biologics License Application (BLA) meeting with the FDA in the fourth quarter of 2026 and submit a BLA in the first quarter of 2027 under the accelerated approval pathway, supporting potential FDA approval in the second half of 2027.</w:t>
      </w:r>
    </w:p>
    <w:p>
      <w:pPr>
        <w:spacing w:after="0" w:line="176"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In June 2026, we announced we had completed dosing in the confirmatory study of RGX-202. We expect the BLA to include a safety dataset from the AFFINITY DUCHENNE pivotal and confirmatory studies (n=63) as well as efficacy data from the pivotal portion (n=30), including 12-month functional data for at least half of the total participants in the pivotal study.</w:t>
      </w:r>
    </w:p>
    <w:p>
      <w:pPr>
        <w:spacing w:after="0" w:line="189" w:lineRule="exact"/>
        <w:rPr>
          <w:sz w:val="20"/>
          <w:szCs w:val="20"/>
          <w:color w:val="auto"/>
        </w:rPr>
      </w:pPr>
    </w:p>
    <w:p>
      <w:pPr>
        <w:ind w:right="120" w:firstLine="509"/>
        <w:spacing w:after="0" w:line="223" w:lineRule="auto"/>
        <w:rPr>
          <w:sz w:val="20"/>
          <w:szCs w:val="20"/>
          <w:color w:val="auto"/>
        </w:rPr>
      </w:pPr>
      <w:r>
        <w:rPr>
          <w:rFonts w:ascii="Times New Roman" w:cs="Times New Roman" w:eastAsia="Times New Roman" w:hAnsi="Times New Roman"/>
          <w:sz w:val="18"/>
          <w:szCs w:val="18"/>
          <w:color w:val="auto"/>
        </w:rPr>
        <w:t>We expect to initiate AFFINITY</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RISE, a new, ex-U.S. randomized, placebo-controlled study to support RGX-202 global regulatory submissions, in the first half of 2027.</w:t>
      </w:r>
    </w:p>
    <w:p>
      <w:pPr>
        <w:spacing w:after="0" w:line="19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We have completed manufacturing the first batches of RGX-202 intended for commercial supply and manufacturing is ongoing to build commercial inventory in advance of a potential commercial launch. The process performance qualification (PPQ) campaign is also complete.</w:t>
      </w:r>
    </w:p>
    <w:p>
      <w:pPr>
        <w:spacing w:after="0" w:line="175" w:lineRule="exact"/>
        <w:rPr>
          <w:sz w:val="20"/>
          <w:szCs w:val="20"/>
          <w:color w:val="auto"/>
        </w:rPr>
      </w:pPr>
    </w:p>
    <w:p>
      <w:pPr>
        <w:ind w:right="460" w:firstLine="509"/>
        <w:spacing w:after="0" w:line="231" w:lineRule="auto"/>
        <w:rPr>
          <w:sz w:val="20"/>
          <w:szCs w:val="20"/>
          <w:color w:val="auto"/>
        </w:rPr>
      </w:pPr>
      <w:r>
        <w:rPr>
          <w:rFonts w:ascii="Times New Roman" w:cs="Times New Roman" w:eastAsia="Times New Roman" w:hAnsi="Times New Roman"/>
          <w:sz w:val="18"/>
          <w:szCs w:val="18"/>
          <w:color w:val="auto"/>
        </w:rPr>
        <w:t>We are also recruiting patients in the AFFINITY BEYOND</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trial, an observational screening study. The primary objective is to evaluate the prevalence of AAV8 antibodies in patients with Duchenne up to 12 years of age. Information collected in this study may be used to identify potential participants for the AFFINITY DUCHENNE trial and potential future trials of RGX-202.</w:t>
      </w:r>
    </w:p>
    <w:p>
      <w:pPr>
        <w:spacing w:after="0" w:line="30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RGX-121 for Treatment of MPS II</w:t>
      </w:r>
    </w:p>
    <w:p>
      <w:pPr>
        <w:spacing w:after="0" w:line="121"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We are developing RGX-121 (clemidsogene lanparvovec) in collaboration with Nippon Shinyaku in the United States and certain countries in Asia as an investigational one-time AAV therapeutic for the treatment of Mucopolysaccharidosis Type II (MPS II), also known as Hunter syndrome, using the NAV AAV9 vector to deliver the gene that encodes the iduronate-2-sulfatase enzyme.</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327"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A BLA for RGX-121 seeking accelerated approval was submitted to the FDA in March 2025. The FDA subsequently granted priority review of the BLA and successfully completed mid-cycle meeting, Pre-license inspection (PLI) and Bioresearch monitoring information (BIMO) inspections. The PLI and BIMO inspections were completed with no observations. In August 2025, we announced that the Prescription Drug User Fee Act (PDUFA) goal date was extended from November 9, 2025 to February 8, 2026 following submission of 12-month clinical data for all patients in the pivotal study of RGX-121 (n=13) in response to an FDA information request.</w:t>
      </w:r>
    </w:p>
    <w:p>
      <w:pPr>
        <w:spacing w:after="0" w:line="183"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 longer-term data submitted to the FDA were presented at the International Congress of Inborn Errors of Metabolism (ICIEM) in September 2025. These results showed that in the pivotal phase of the CAMPSIITE trial (n=13), participants through one year sustained an 82% median reduction of cerebrospinal fluid (CSF) levels of HS D2S6. These longer-term data were consistent with previously reported topline pivotal results from the CAMPSIITE trial.</w:t>
      </w:r>
    </w:p>
    <w:p>
      <w:pPr>
        <w:spacing w:after="0" w:line="180"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In January 2026, we announced that the FDA placed the RGX-121 program on partial clinical hold in relation to a serious adverse event in a patient treated in the Phase I/II trial of RGX-111, discussed in further detail below. The FDA cited the similarities in products, study populations, and shared risk between the clinical studies. The partial clinical hold on RGX-121 was lifted by the FDA on April 30, 2026.</w:t>
      </w:r>
    </w:p>
    <w:p>
      <w:pPr>
        <w:spacing w:after="0" w:line="176"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In February 2026, we announced that the FDA issued a Complete Response Letter (CRL) for the RGX-121 BLA. The FDA stated in the CRL that it had agreed to the study protocol in principle and outlined several reasons for not approving the gene therapy, including uncertainty regarding the study eligibility criteria to adequately define a population with neuronopathic disease (vs. attenuated disease), the comparability of the natural history external control to the study population, and the appropriateness of CSF HS D2S6 as a surrogate endpoint reasonably likely to predict clinical benefit.</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March 2026, we entered into discussions with FDA senior leadership and filed a Formal Dispute Resolution Request.</w:t>
      </w:r>
    </w:p>
    <w:p>
      <w:pPr>
        <w:spacing w:after="0" w:line="225"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 June 2026, we announced alignment with the FDA regarding the next steps needed for a potential accelerated approval of RGX-121. During those discussions, the FDA acknowledged that the existing RGX-121 clinical data was sufficient to be considered for the accelerated approval pathway and that the Company did not need to enroll additional patients or conduct additional studies, including the FDA’s previously recommended incorporation of an untreated control arm.</w:t>
      </w:r>
    </w:p>
    <w:p>
      <w:pPr>
        <w:spacing w:after="0" w:line="180"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In July 2026, we and the FDA held a positive Type A meeting during which the FDA reaffirmed that no additional studies of RGX-121 are required for BLA resubmission and aligned on resubmission requirements.</w:t>
      </w:r>
    </w:p>
    <w:p>
      <w:pPr>
        <w:spacing w:after="0" w:line="162"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In August 2026, we announced that the FDA placed a clinical hold on RGX-121 following the discovery of asymptomatic spine MRI findings in five participants in the CAMPSIITE study. We continue to collect and evaluate additional patient imaging and long-term follow-up data. Potential approval of the BLA for RGX-121 could result in receipt of a Rare Pediatric Disease Priority Review Voucher (PRV), assuming the statutory criteria are met. If approved, RGX-121 would be the first approved gene therapy and one-time treatment for MPS II.</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RGX-111 for Treatment of MPS I</w:t>
      </w:r>
    </w:p>
    <w:p>
      <w:pPr>
        <w:spacing w:after="0" w:line="121" w:lineRule="exact"/>
        <w:rPr>
          <w:sz w:val="20"/>
          <w:szCs w:val="20"/>
          <w:color w:val="auto"/>
        </w:rPr>
      </w:pPr>
    </w:p>
    <w:p>
      <w:pPr>
        <w:ind w:right="320" w:firstLine="509"/>
        <w:spacing w:after="0" w:line="266" w:lineRule="auto"/>
        <w:rPr>
          <w:sz w:val="20"/>
          <w:szCs w:val="20"/>
          <w:color w:val="auto"/>
        </w:rPr>
      </w:pPr>
      <w:r>
        <w:rPr>
          <w:rFonts w:ascii="Times New Roman" w:cs="Times New Roman" w:eastAsia="Times New Roman" w:hAnsi="Times New Roman"/>
          <w:sz w:val="18"/>
          <w:szCs w:val="18"/>
          <w:color w:val="auto"/>
        </w:rPr>
        <w:t>We are developing RGX-111 in collaboration with Nippon Shinyaku in the United States and certain countries in Asia as an investigational one-time AAV therapeutic for the treatment of Mucopolysaccharidosis Type I (MPS I), also known as Hurler syndrome, using the NAV AAV9 vector to deliver the IDUA gene.</w:t>
      </w:r>
    </w:p>
    <w:p>
      <w:pPr>
        <w:spacing w:after="0" w:line="176"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In November 2023, future development of RGX-111 was halted as a result of a strategic pipeline prioritization and corporate restructuring. Prior to that announcement, RGX-111 demonstrated to be well tolerated in interim results and indicated encouraging biomarker and neurodevelopmental results in a Phase I/II study. Efforts to continue development of RGX-111 as part of the strategic partnership with Nippon Shinyaku are ongoing.</w:t>
      </w:r>
    </w:p>
    <w:p>
      <w:pPr>
        <w:spacing w:after="0" w:line="176" w:lineRule="exact"/>
        <w:rPr>
          <w:sz w:val="20"/>
          <w:szCs w:val="20"/>
          <w:color w:val="auto"/>
        </w:rPr>
      </w:pPr>
    </w:p>
    <w:p>
      <w:pPr>
        <w:ind w:firstLine="509"/>
        <w:spacing w:after="0" w:line="223" w:lineRule="exact"/>
        <w:rPr>
          <w:sz w:val="20"/>
          <w:szCs w:val="20"/>
          <w:color w:val="auto"/>
        </w:rPr>
      </w:pPr>
      <w:r>
        <w:rPr>
          <w:rFonts w:ascii="Times New Roman" w:cs="Times New Roman" w:eastAsia="Times New Roman" w:hAnsi="Times New Roman"/>
          <w:sz w:val="18"/>
          <w:szCs w:val="18"/>
          <w:color w:val="auto"/>
        </w:rPr>
        <w:t>In January 2026, we announced that the FDA placed the RGX-111 program on partial clinical hold following preliminary analysis of a single case of neoplasm (intraventricular CNS tumor) in a participant treated in the Phase I/II study. The case was identified during a routine brain MRI of an asymptomatic five-year-old participant who received intracisternal RGX-111 four years prior. Preliminary genetic analysis of the resected tumor detected an AAV vector genome integration event associated with overexpression of a proto-oncogene (PLAG1), which is known to be susceptible to chromosomal rearrangements. Final analysis of the resected tumor was conducted by an independent third-party lab and, as previously reported, detected an AAV vector genome integration event associated with overexpression of a PLAG1. Clonal integration of AAV vector elements into the PLAG1 gene was detected in the tumor tissue. Analyses supported classification as a PLAG1</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family neuroepithelial tumor and are consistent with the</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32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hypothesis that AAV vector integration at the PLAG1 site contributed to tumor formation. Of note, this participant had a background of factors that could have contributed to risk of oncogenic transformation. For example, the participant underwent unsuccessful stem cell transplant at four months of age, with loss of donor chimerism, and he received chemotherapeutics that may have contributed to DNA damage. The report concluded, based on formal neuropsychologic testing and developmental pediatrician assessment, that the patient’s neurocognitive development was above average, which indicated mitigation of MPS I disease, and the patient continued to do well. The analysis was published in The New England Journal of Medicine in May 2026.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AbbVie Collaboration for Sura-vec</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September 2021, we entered into a collaboration and license agreement with AbbVie Global Enterprises Ltd. (AbbVie), a subsidiary of AbbVie Inc., to jointly develop and commercialize sura-vec (as amended, the AbbVie Collaboration Agreement). Pursuant to the AbbVie Collaboration Agreement, both we and AbbVie are active participants in the development of sura-vec and development expenses are shared between the parties in accordance with the agreement. The Company will lead the manufacturing of sura-vec for clinical development and U.S. commercial supply, and AbbVie will lead the global commercialization of sura-vec. We received an up-front fee of $370.0 million from AbbVie upon the effective date of the AbbVie Collaboration Agreement in November 2021, and we are eligible to receive up to $1.38 billion from AbbVie upon the achievement of specified development and sales-based milestones. Additionally, the parties will share equally in the net profits and net losses associated with the commercialization of sura-vec in the United States, and we are eligible to receive tiered royalties on net sales by AbbVie of sura-vec outside the United States. For additional information regarding the AbbVie Collaboration Agreement, please refer to Note 10, “License and Collaboration Agreements—AbbVie Collaboration and License Agreement” to the accompanying unaudited consolidated financial statements.</w:t>
      </w:r>
    </w:p>
    <w:p>
      <w:pPr>
        <w:spacing w:after="0" w:line="194"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In June 2026, we dosed the first patient in the NAAVIGATE trial, resulting in a $100.0 million development milestone payment from AbbVie which was fully recognized as license and royalty revenue in the second quarter of 2026 and received from AbbVie in July 2026.</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Nippon Shinyaku Collaboration for RGX-121 and RGX-111</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January 2025, we entered into a collaboration and license agreement with Nippon Shinyaku Co., Ltd. (Nippon Shinyaku) for the development and commercialization of RGX-121 and RGX-111 (the Nippon Shinyaku Collaboration Agreement) in the United States and certain countries in Asia. Pursuant to the Nippon Shinyaku Collaboration Agreement, we are responsible for the development of RGX-121 and RGX-111 in the United States, and Nippon Shinyaku is responsible for development in licensed territories outside the United States. We are responsible for the manufacturing of RGX-121 and RGX-111 for clinical development and commercial supply, and manufacturing expenses will be allocated between the parties in accordance with the terms of the Nippon Shinyaku Collaboration Agreement. Nippon Shinyaku is responsible, at its sole cost, for the commercialization of RGX-121 and RGX-111 in the licensed territories. Under the terms of the Nippon Shinyaku Collaboration Agreement, we received an up-front payment of $110.0 million from Nippon Shinyaku following the effective date of the agreement in March 2025 and are eligible to receive up to $700.0 million from Nippon Shinyaku upon the achievement of specified development and sales-based milestones. We are also eligible to receive double-digit royalties on net sales of RGX-121 and RGX-111 by Nippon Shinyaku, subject to specified offsets and reductions. We retain all rights to, and any proceeds related to the sale of, any priority review vouchers that may be issued upon the potential approvals of RGX-121 and RGX-111. For additional information regarding the Nippon Shinyaku Collaboration Agreement, please refer to Note 10, “License and Collaboration Agreements—Nippon Shinyaku Collaboration and License Agreement” to the accompanying unaudited consolidated financial statements.</w:t>
      </w:r>
    </w:p>
    <w:p>
      <w:pPr>
        <w:spacing w:after="0" w:line="187"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In May 2025, we entered into a loan agreement with entities managed by Healthcare Royalty Management, LLC (collectively and with other affiliated entities, HCR). Pursuant to the terms of the loan agreement, future royalties, sales-based milestone payments and certain development milestone payments earned under the Nippon Shinyaku Collaboration Agreement, along with consideration earned under various other NAV Technology Platform license agreements, shall be used to repay principal and interest owed to HCR. For additional information regarding the May 2025 loan agreement with HCR, please refer to Note 7, “Royalty Monetization Liabilities—2025 Royalty Bond” to the accompanying unaudited consolidated financial statements.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NAV Technology Licensing Platform</w:t>
      </w:r>
    </w:p>
    <w:p>
      <w:pPr>
        <w:spacing w:after="0" w:line="121"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auto"/>
        </w:rPr>
        <w:t>In addition to our internal product development efforts, we also selectively license the NAV Technology Platform and other intellectual property rights to other leading biotechnology and pharmaceutical companies, which we refer to as NAV Technology Licensees. As of September 30, 2026, our NAV Technology Platform was being applied in two commercial products, Zolgensma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Itvisma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and the preclinical and clinical development of various other licensed products. Licensing the NAV Technology Platform allows us to maintain our internal product development focus on our core disease indications and therapeutic areas while still expanding the NAV gene therapy pipeline, developing a greater breadth of treatments for patients, providing additional technological and potential clinical proof-of-concept for our NAV Technology Platform and creating additional revenue opportunities.</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Overview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21" w:lineRule="exact"/>
        <w:rPr>
          <w:sz w:val="20"/>
          <w:szCs w:val="20"/>
          <w:color w:val="auto"/>
        </w:rPr>
      </w:pPr>
    </w:p>
    <w:p>
      <w:pPr>
        <w:ind w:right="80" w:firstLine="509"/>
        <w:spacing w:after="0" w:line="281" w:lineRule="auto"/>
        <w:rPr>
          <w:sz w:val="20"/>
          <w:szCs w:val="20"/>
          <w:color w:val="auto"/>
        </w:rPr>
      </w:pPr>
      <w:r>
        <w:rPr>
          <w:rFonts w:ascii="Times New Roman" w:cs="Times New Roman" w:eastAsia="Times New Roman" w:hAnsi="Times New Roman"/>
          <w:sz w:val="17"/>
          <w:szCs w:val="17"/>
          <w:color w:val="auto"/>
        </w:rPr>
        <w:t>Our revenues to date have been primarily generated from the licensing of our NAV Technology Platform and other intellectual property rights to NAV Technology Licensees and collaborators, as well as from development and manufacturing services performed under such license and collaboration arrangements. We have not generated any revenues from commercial sales of our own products. If we fail to complete the development of our product candidates in a timely manner or obtain regulatory approval and adequate labeling, our ability to generate future revenues will be materially compromised.</w:t>
      </w:r>
    </w:p>
    <w:p>
      <w:pPr>
        <w:spacing w:after="0" w:line="164"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have licensed our NAV Technology Platform and other intellectual property rights to other biotechnology and pharmaceutical companies, including collaborators for the joint development and commercialization of our product candidates. The terms of the licenses vary, and licenses may be exclusive or non-exclusive and may be sublicensable by the licensee. Licenses may grant intellectual property rights for purposes of internal and preclinical research and development only, or may include the rights, or options to obtain future rights, to commercialize drug therapies for specific diseases using the NAV Technology Platform and other licensed rights. License agreements generally have a term at least equal to the life of the underlying patents, but are terminable at the option of the licensee. Consideration payable to us under our license and collaboration agreements may include: (i) up-front and annual fees, (ii) milestone payments based on the achievement of certain development and sales-based milestones, (iii) sublicense fees, (iv) royalties on sales of licensed products, (v) fees for services related to the development and manufacturing of licensed products and (vi) other consideration payable upon optional goods and services purchased by licensees and collaborators.</w:t>
      </w:r>
    </w:p>
    <w:p>
      <w:pPr>
        <w:spacing w:after="0" w:line="188"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Future revenues under our license and collaboration arrangements are dependent on the successful development and commercialization of licensed products, which is uncertain, and revenues may fluctuate significantly from period to period. Additionally, we may never receive consideration under our license or collaboration agreements that is contemplated on optional goods and services, development and sales-based milestones, royalties on sales of licensed products or sublicense fees, given the contingent nature of these payments. Our revenues are concentrated among a low number of licensees and collaborators and the arrangements are terminable at the option of the counterparty. The termination of our license and collaboration arrangements may materially impact the amount of revenue we recognize in future periods.</w:t>
      </w:r>
    </w:p>
    <w:p>
      <w:pPr>
        <w:spacing w:after="0" w:line="2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Zolgensma and Itvisma Royalties</w:t>
      </w:r>
    </w:p>
    <w:p>
      <w:pPr>
        <w:spacing w:after="0" w:line="119"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Royalty revenue to date consists primarily of royalties on net sales of Zolgensma and Itvisma, which are marketed by Novartis Innovative Technologies Inc. (formerly, Novartis Gene Therapies, Inc.), a wholly owned subsidiary of Novartis AG (Novartis), for the treatment of spinal muscular atrophy (SMA). Zolgensma and Itvisma are licensed products under our license agreement with Novartis (the Novartis License) for the development and commercialization of treatments for SMA using the NAV Technology Platform.</w:t>
      </w:r>
    </w:p>
    <w:p>
      <w:pPr>
        <w:spacing w:after="0" w:line="180"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In January 2026, licensed patents for Zolgensma under the Novartis License expired in the United States. We are entitled to continued royalties on net sales of Zolgensma in approximately 20 countries where licensed patents remain active. Licensed product made prior to patent expiration but sold after expiration may also be subject to royalties. Licensed patents covering the use of Itvisma have issued in the United States and certain other countries, and we are entitled to ongoing royalties on certain net sales of Itvisma in these territories.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Our operating expenses consist primarily of cost of license and royalty revenues, research and development expenses and general and administrative expenses. Personnel costs including salaries, wages, benefits, bonuses and stock-based compensation expense, comprise a significant component of research and development and general and administrative expenses. We allocate indirect expenses associated with our facilities, information technology costs, depreciation and other overhead costs between research and development and general and administrative categories based on employee headcount and the nature of work performed by each employee or using other reasonable allocation methodologies.</w:t>
      </w:r>
    </w:p>
    <w:p>
      <w:pPr>
        <w:spacing w:after="0" w:line="2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Cost of License and Royalty Revenues</w:t>
      </w:r>
    </w:p>
    <w:p>
      <w:pPr>
        <w:spacing w:after="0" w:line="119"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Our cost of license and royalty revenues consists primarily of upstream fees due to our licensors as a result of revenue generated from the licensing of our NAV Technology Platform and other intellectual property rights, including sublicense fees and royalties on net sales of licensed products. Sublicense fees are based on a percentage of license fees received by us from licensees and are recognized in the period that the underlying license revenue is recognized. Royalties are based on a percentage of net sales of licensed products by licensees and are recognized in the period that the underlying sales occur. Future costs of revenues are uncertain due to the nature of our license agreements and significant fluctuations in cost of license and royalty revenues may occur from period to period.</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Research and Development Expense</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research and development expenses consist primarily of:</w:t>
      </w:r>
    </w:p>
    <w:p>
      <w:pPr>
        <w:spacing w:after="0" w:line="225" w:lineRule="exact"/>
        <w:rPr>
          <w:sz w:val="20"/>
          <w:szCs w:val="20"/>
          <w:color w:val="auto"/>
        </w:rPr>
      </w:pPr>
    </w:p>
    <w:p>
      <w:pPr>
        <w:ind w:left="1020" w:right="14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salaries, wages and personnel-related costs, including benefits, travel and stock-based compensation, for our scientific personnel and others performing research and development activities;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executing preclinical studies and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acquiring, developing and manufacturing materials for preclinical studies and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paid to consultants and other third parties who support our product candidate development;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costs in seeking regulatory approval of our product candidates;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costs and allocated costs related to laboratories and facilities, depreciation expense, information technology and other overhead.</w:t>
      </w:r>
    </w:p>
    <w:p>
      <w:pPr>
        <w:spacing w:after="0" w:line="225"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Up-front fees incurred in obtaining technology licenses for research and development activities, as well as associated milestone payments, are charged to research and development expense as incurred if the technology licensed has no alternative future use.</w:t>
      </w:r>
    </w:p>
    <w:p>
      <w:pPr>
        <w:spacing w:after="0" w:line="162" w:lineRule="exact"/>
        <w:rPr>
          <w:sz w:val="20"/>
          <w:szCs w:val="20"/>
          <w:color w:val="auto"/>
        </w:rPr>
      </w:pPr>
    </w:p>
    <w:p>
      <w:pPr>
        <w:ind w:right="360" w:firstLine="509"/>
        <w:spacing w:after="0" w:line="266" w:lineRule="auto"/>
        <w:rPr>
          <w:sz w:val="20"/>
          <w:szCs w:val="20"/>
          <w:color w:val="auto"/>
        </w:rPr>
      </w:pPr>
      <w:r>
        <w:rPr>
          <w:rFonts w:ascii="Times New Roman" w:cs="Times New Roman" w:eastAsia="Times New Roman" w:hAnsi="Times New Roman"/>
          <w:sz w:val="18"/>
          <w:szCs w:val="18"/>
          <w:color w:val="auto"/>
        </w:rPr>
        <w:t>We expect to continue to incur significant research and development expenses for the foreseeable future as we continue the development of our product candidates and engage in early research and development for prospective product candidates and new technologies. The following table summarizes our research and development expenses incurred during the three and nine months ended September 30, 2026 and 2025 (in thousands):</w:t>
      </w:r>
    </w:p>
    <w:p>
      <w:pPr>
        <w:spacing w:after="0" w:line="169"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4180" w:type="dxa"/>
            <w:vAlign w:val="bottom"/>
          </w:tcPr>
          <w:p>
            <w:pPr>
              <w:spacing w:after="0"/>
              <w:rPr>
                <w:sz w:val="15"/>
                <w:szCs w:val="15"/>
                <w:color w:val="auto"/>
              </w:rPr>
            </w:pPr>
          </w:p>
        </w:tc>
        <w:tc>
          <w:tcPr>
            <w:tcW w:w="2800" w:type="dxa"/>
            <w:vAlign w:val="bottom"/>
            <w:gridSpan w:val="5"/>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72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418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2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3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43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3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r>
      <w:tr>
        <w:trPr>
          <w:trHeight w:val="209"/>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Direct Expenses</w:t>
            </w:r>
          </w:p>
        </w:tc>
        <w:tc>
          <w:tcPr>
            <w:tcW w:w="7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4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ABBV-RGX-314 (sura-vec)</w:t>
            </w:r>
          </w:p>
        </w:tc>
        <w:tc>
          <w:tcPr>
            <w:tcW w:w="780" w:type="dxa"/>
            <w:vAlign w:val="bottom"/>
          </w:tcPr>
          <w:p>
            <w:pPr>
              <w:jc w:val="right"/>
              <w:ind w:right="59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10,439</w:t>
            </w: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6,068</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25,705</w:t>
            </w: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27,322</w:t>
            </w:r>
          </w:p>
        </w:tc>
        <w:tc>
          <w:tcPr>
            <w:tcW w:w="120" w:type="dxa"/>
            <w:vAlign w:val="bottom"/>
          </w:tcPr>
          <w:p>
            <w:pPr>
              <w:spacing w:after="0"/>
              <w:rPr>
                <w:sz w:val="18"/>
                <w:szCs w:val="18"/>
                <w:color w:val="auto"/>
              </w:rPr>
            </w:pPr>
          </w:p>
        </w:tc>
      </w:tr>
      <w:tr>
        <w:trPr>
          <w:trHeight w:val="216"/>
        </w:trPr>
        <w:tc>
          <w:tcPr>
            <w:tcW w:w="41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RGX-202</w:t>
            </w:r>
          </w:p>
        </w:tc>
        <w:tc>
          <w:tcPr>
            <w:tcW w:w="78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12,446</w:t>
            </w: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6,908</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29,269</w:t>
            </w: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16,345</w:t>
            </w:r>
          </w:p>
        </w:tc>
        <w:tc>
          <w:tcPr>
            <w:tcW w:w="120" w:type="dxa"/>
            <w:vAlign w:val="bottom"/>
            <w:shd w:val="clear" w:color="auto" w:fill="CFF0FC"/>
          </w:tcPr>
          <w:p>
            <w:pPr>
              <w:spacing w:after="0"/>
              <w:rPr>
                <w:sz w:val="18"/>
                <w:szCs w:val="18"/>
                <w:color w:val="auto"/>
              </w:rPr>
            </w:pPr>
          </w:p>
        </w:tc>
      </w:tr>
      <w:tr>
        <w:trPr>
          <w:trHeight w:val="216"/>
        </w:trPr>
        <w:tc>
          <w:tcPr>
            <w:tcW w:w="4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RGX-121</w:t>
            </w:r>
          </w:p>
        </w:tc>
        <w:tc>
          <w:tcPr>
            <w:tcW w:w="7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2,047</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3,949</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11,015</w:t>
            </w:r>
          </w:p>
        </w:tc>
        <w:tc>
          <w:tcPr>
            <w:tcW w:w="120" w:type="dxa"/>
            <w:vAlign w:val="bottom"/>
          </w:tcPr>
          <w:p>
            <w:pPr>
              <w:spacing w:after="0"/>
              <w:rPr>
                <w:sz w:val="18"/>
                <w:szCs w:val="18"/>
                <w:color w:val="auto"/>
              </w:rPr>
            </w:pPr>
          </w:p>
        </w:tc>
      </w:tr>
      <w:tr>
        <w:trPr>
          <w:trHeight w:val="216"/>
        </w:trPr>
        <w:tc>
          <w:tcPr>
            <w:tcW w:w="418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Other product candidates</w:t>
            </w:r>
          </w:p>
        </w:tc>
        <w:tc>
          <w:tcPr>
            <w:tcW w:w="78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2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2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3,035</w:t>
            </w:r>
          </w:p>
        </w:tc>
        <w:tc>
          <w:tcPr>
            <w:tcW w:w="2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4,484</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4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direct expenses</w:t>
            </w:r>
          </w:p>
        </w:tc>
        <w:tc>
          <w:tcPr>
            <w:tcW w:w="7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25,718</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18,837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61,958</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59,166</w:t>
            </w:r>
          </w:p>
        </w:tc>
        <w:tc>
          <w:tcPr>
            <w:tcW w:w="120" w:type="dxa"/>
            <w:vAlign w:val="bottom"/>
          </w:tcPr>
          <w:p>
            <w:pPr>
              <w:spacing w:after="0"/>
              <w:rPr>
                <w:sz w:val="18"/>
                <w:szCs w:val="18"/>
                <w:color w:val="auto"/>
              </w:rPr>
            </w:pPr>
          </w:p>
        </w:tc>
      </w:tr>
      <w:tr>
        <w:trPr>
          <w:trHeight w:val="216"/>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Unallocated Expenses</w:t>
            </w:r>
          </w:p>
        </w:tc>
        <w:tc>
          <w:tcPr>
            <w:tcW w:w="7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4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Platform and early research</w:t>
            </w:r>
          </w:p>
        </w:tc>
        <w:tc>
          <w:tcPr>
            <w:tcW w:w="7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6,760</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24,542</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22,694</w:t>
            </w:r>
          </w:p>
        </w:tc>
        <w:tc>
          <w:tcPr>
            <w:tcW w:w="120" w:type="dxa"/>
            <w:vAlign w:val="bottom"/>
          </w:tcPr>
          <w:p>
            <w:pPr>
              <w:spacing w:after="0"/>
              <w:rPr>
                <w:sz w:val="18"/>
                <w:szCs w:val="18"/>
                <w:color w:val="auto"/>
              </w:rPr>
            </w:pPr>
          </w:p>
        </w:tc>
      </w:tr>
      <w:tr>
        <w:trPr>
          <w:trHeight w:val="216"/>
        </w:trPr>
        <w:tc>
          <w:tcPr>
            <w:tcW w:w="41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Personnel</w:t>
            </w:r>
          </w:p>
        </w:tc>
        <w:tc>
          <w:tcPr>
            <w:tcW w:w="78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18,544</w:t>
            </w: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18,464</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57,483</w:t>
            </w: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55,153</w:t>
            </w:r>
          </w:p>
        </w:tc>
        <w:tc>
          <w:tcPr>
            <w:tcW w:w="120" w:type="dxa"/>
            <w:vAlign w:val="bottom"/>
            <w:shd w:val="clear" w:color="auto" w:fill="CFF0FC"/>
          </w:tcPr>
          <w:p>
            <w:pPr>
              <w:spacing w:after="0"/>
              <w:rPr>
                <w:sz w:val="18"/>
                <w:szCs w:val="18"/>
                <w:color w:val="auto"/>
              </w:rPr>
            </w:pPr>
          </w:p>
        </w:tc>
      </w:tr>
      <w:tr>
        <w:trPr>
          <w:trHeight w:val="216"/>
        </w:trPr>
        <w:tc>
          <w:tcPr>
            <w:tcW w:w="4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Facilities</w:t>
            </w:r>
          </w:p>
        </w:tc>
        <w:tc>
          <w:tcPr>
            <w:tcW w:w="7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3,293</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8,996</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8,467</w:t>
            </w:r>
          </w:p>
        </w:tc>
        <w:tc>
          <w:tcPr>
            <w:tcW w:w="120" w:type="dxa"/>
            <w:vAlign w:val="bottom"/>
          </w:tcPr>
          <w:p>
            <w:pPr>
              <w:spacing w:after="0"/>
              <w:rPr>
                <w:sz w:val="18"/>
                <w:szCs w:val="18"/>
                <w:color w:val="auto"/>
              </w:rPr>
            </w:pPr>
          </w:p>
        </w:tc>
      </w:tr>
      <w:tr>
        <w:trPr>
          <w:trHeight w:val="216"/>
        </w:trPr>
        <w:tc>
          <w:tcPr>
            <w:tcW w:w="41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Stock-based compensation</w:t>
            </w:r>
          </w:p>
        </w:tc>
        <w:tc>
          <w:tcPr>
            <w:tcW w:w="78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3,377</w:t>
            </w: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4,245</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10,988</w:t>
            </w: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12,181</w:t>
            </w:r>
          </w:p>
        </w:tc>
        <w:tc>
          <w:tcPr>
            <w:tcW w:w="120" w:type="dxa"/>
            <w:vAlign w:val="bottom"/>
            <w:shd w:val="clear" w:color="auto" w:fill="CFF0FC"/>
          </w:tcPr>
          <w:p>
            <w:pPr>
              <w:spacing w:after="0"/>
              <w:rPr>
                <w:sz w:val="18"/>
                <w:szCs w:val="18"/>
                <w:color w:val="auto"/>
              </w:rPr>
            </w:pPr>
          </w:p>
        </w:tc>
      </w:tr>
      <w:tr>
        <w:trPr>
          <w:trHeight w:val="216"/>
        </w:trPr>
        <w:tc>
          <w:tcPr>
            <w:tcW w:w="4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7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3,317</w:t>
            </w: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3,646</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10,467</w:t>
            </w: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11,027</w:t>
            </w:r>
          </w:p>
        </w:tc>
        <w:tc>
          <w:tcPr>
            <w:tcW w:w="120" w:type="dxa"/>
            <w:vAlign w:val="bottom"/>
          </w:tcPr>
          <w:p>
            <w:pPr>
              <w:spacing w:after="0"/>
              <w:rPr>
                <w:sz w:val="18"/>
                <w:szCs w:val="18"/>
                <w:color w:val="auto"/>
              </w:rPr>
            </w:pPr>
          </w:p>
        </w:tc>
      </w:tr>
      <w:tr>
        <w:trPr>
          <w:trHeight w:val="210"/>
        </w:trPr>
        <w:tc>
          <w:tcPr>
            <w:tcW w:w="41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unallocated expenses</w:t>
            </w:r>
          </w:p>
        </w:tc>
        <w:tc>
          <w:tcPr>
            <w:tcW w:w="78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35,291</w:t>
            </w:r>
          </w:p>
        </w:tc>
        <w:tc>
          <w:tcPr>
            <w:tcW w:w="2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37,264</w:t>
            </w:r>
          </w:p>
        </w:tc>
        <w:tc>
          <w:tcPr>
            <w:tcW w:w="2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112,476</w:t>
            </w:r>
          </w:p>
        </w:tc>
        <w:tc>
          <w:tcPr>
            <w:tcW w:w="2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109,522</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4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research and development</w:t>
            </w:r>
          </w:p>
        </w:tc>
        <w:tc>
          <w:tcPr>
            <w:tcW w:w="780" w:type="dxa"/>
            <w:vAlign w:val="bottom"/>
          </w:tcPr>
          <w:p>
            <w:pPr>
              <w:jc w:val="right"/>
              <w:ind w:right="59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61,009</w:t>
            </w: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56,101</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174,434</w:t>
            </w: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168,688</w:t>
            </w:r>
          </w:p>
        </w:tc>
        <w:tc>
          <w:tcPr>
            <w:tcW w:w="120" w:type="dxa"/>
            <w:vAlign w:val="bottom"/>
          </w:tcPr>
          <w:p>
            <w:pPr>
              <w:spacing w:after="0"/>
              <w:rPr>
                <w:sz w:val="18"/>
                <w:szCs w:val="18"/>
                <w:color w:val="auto"/>
              </w:rPr>
            </w:pPr>
          </w:p>
        </w:tc>
      </w:tr>
      <w:tr>
        <w:trPr>
          <w:trHeight w:val="20"/>
        </w:trPr>
        <w:tc>
          <w:tcPr>
            <w:tcW w:w="41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-1285240</wp:posOffset>
            </wp:positionV>
            <wp:extent cx="6032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-1285240</wp:posOffset>
            </wp:positionV>
            <wp:extent cx="6032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-1285240</wp:posOffset>
            </wp:positionV>
            <wp:extent cx="6032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-1285240</wp:posOffset>
            </wp:positionV>
            <wp:extent cx="6858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-170815</wp:posOffset>
            </wp:positionV>
            <wp:extent cx="6032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-170815</wp:posOffset>
            </wp:positionV>
            <wp:extent cx="6032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-170815</wp:posOffset>
            </wp:positionV>
            <wp:extent cx="6032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-170815</wp:posOffset>
            </wp:positionV>
            <wp:extent cx="6858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Direct expenses related to the development of sura-vec include $9.3 million and $34.0 million for the three and nine months ended September 30, 2026, respectively, and $17.7 million and $49.5 million for the three and nine months ended September 30, 2025, respectively, in net cost reimbursement from AbbVie under our sura-vec collaboration which were recorded as a reduction of research and development expenses. In addition to reimbursement of direct development expenses, net cost reimbursement from AbbVie includes reimbursement of personnel and overhead costs attributable to the development of sura-vec, the underlying costs of which are reported as unallocated expenses in the table above. We typically utilize our employee and infrastructure resources across our development programs. As a result, we generally do not allocate personnel and other internal costs, such as facilities and other overhead costs, to specific product candidates or development programs.</w:t>
      </w:r>
    </w:p>
    <w:p>
      <w:pPr>
        <w:spacing w:after="0" w:line="189" w:lineRule="exact"/>
        <w:rPr>
          <w:sz w:val="20"/>
          <w:szCs w:val="20"/>
          <w:color w:val="auto"/>
        </w:rPr>
      </w:pPr>
    </w:p>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Platform and early research reported in the table above includes direct costs not identifiable with a specific lead product candidate, including costs associated with our research and development platform used across programs, manufacturing support, process and analytical development, early research and development for prospective product candidates and new technologies, and other costs in support of research and development activities.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General and Administrative Expense</w:t>
      </w:r>
    </w:p>
    <w:p>
      <w:pPr>
        <w:spacing w:after="0" w:line="119"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Our general and administrative expenses consist primarily of salaries, wages and personnel-related costs, including benefits, travel and stock-based compensation, for employees performing functions other than research and development. This includes certain personnel in executive, commercial, corporate development, finance, legal, human resources, information technology, facilities and administrative support functions. Additionally, general and administrative expenses include costs associated with accounting, legal, commercial and other corporate advisory services, obtaining and maintaining patents, insurance, information systems and other general corporate activities, as well as facility-related costs and other corporate overhead costs not otherwise allocated to research and development expense. We expect that our general and administrative expenses will increase as we continue to develop, and potentially commercialize, our product candidates. Specifically, we expect general and administrative costs associated with the potential commercialization of our product candidates to increase in future periods as we and our commercial partners prepare for and carry out product launch efforts, in particular for the potential commercialization of our RGX-202 and sura-vec product candidates.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Interest Income from Licensing</w:t>
      </w:r>
    </w:p>
    <w:p>
      <w:pPr>
        <w:spacing w:after="0" w:line="119"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In accordance with our revenue recognition policy, interest income from licensing consists of imputed interest recognized from significant financing components identified in our license agreements with NAV Technology Licensees.</w:t>
      </w:r>
    </w:p>
    <w:p>
      <w:pPr>
        <w:spacing w:after="0" w:line="2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Investment Income</w:t>
      </w:r>
    </w:p>
    <w:p>
      <w:pPr>
        <w:spacing w:after="0" w:line="119"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Investment income consists of interest income earned and gains and losses realized from our cash equivalents, marketable securities and non-marketable equity securities. Cash equivalents are comprised of money market mutual funds and highly liquid debt securities with original maturities of 90 days or less at acquisition. Marketable securities are comprised of available-for-sale debt securities.</w:t>
      </w:r>
    </w:p>
    <w:p>
      <w:pPr>
        <w:spacing w:after="0" w:line="2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19"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Interest expense is primarily associated with our royalty monetization liabilities, including our December 2020 royalty purchase agreement (2020 Royalty Purchase Agreement) and May 2025 loan agreement (2025 Royalty Bond) with HCR. For further information regarding our royalty monetization liabilities and associated interest expense, please refer to Note 7, “Royalty Monetization Liabilities” to the accompanying unaudited consolidated financial statements.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This Management’s Discussion and Analysis of Financial Condition and Results of Operations is based on our consolidated financial statements, which we have prepared in accordance with accounting principles generally accepted in the United States of America (GAAP). The preparation of financial statements in conformity with GAAP requires us to make estimates and assumptions that affect the reported amounts of assets, liabilities, revenues and expenses and related disclosure of contingent assets and liabilities for the periods presented. We base our estimates on historical experience and on various other factors that we believe are reasonable under the circumstances, the results of which form the basis for making judgments about the carrying value of assets and liabilities, and other reported amounts, that are not readily apparent from other sources. Actual results may differ materially from these estimates under different assumptions or conditions.</w:t>
      </w:r>
    </w:p>
    <w:p>
      <w:pPr>
        <w:spacing w:after="0" w:line="189"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Our significant accounting policies are fully described in Note 2 to the accompanying unaudited consolidated financial statements and in Note 2 to our audited consolidated financial statements included in our Annual Report on Form 10-K for the year ended December 31, 2025. There have been no significant changes in our critical accounting policies and estimates since December 31, 2025.</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consolidated results of operations were as follows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700" w:type="dxa"/>
            <w:vAlign w:val="bottom"/>
            <w:gridSpan w:val="5"/>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80" w:type="dxa"/>
            <w:vAlign w:val="bottom"/>
            <w:gridSpan w:val="6"/>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20" w:type="dxa"/>
            <w:vAlign w:val="bottom"/>
          </w:tcPr>
          <w:p>
            <w:pPr>
              <w:spacing w:after="0"/>
              <w:rPr>
                <w:sz w:val="15"/>
                <w:szCs w:val="15"/>
                <w:color w:val="auto"/>
              </w:rPr>
            </w:pPr>
          </w:p>
        </w:tc>
        <w:tc>
          <w:tcPr>
            <w:tcW w:w="7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35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right"/>
              <w:ind w:right="43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37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ind w:right="41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8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License and royalty revenue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5,244</w:t>
            </w:r>
          </w:p>
        </w:tc>
        <w:tc>
          <w:tcPr>
            <w:tcW w:w="240" w:type="dxa"/>
            <w:vAlign w:val="bottom"/>
          </w:tcPr>
          <w:p>
            <w:pPr>
              <w:spacing w:after="0"/>
              <w:rPr>
                <w:sz w:val="18"/>
                <w:szCs w:val="18"/>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23,605</w:t>
            </w:r>
          </w:p>
        </w:tc>
        <w:tc>
          <w:tcPr>
            <w:tcW w:w="14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(18,361)</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114,175</w:t>
            </w:r>
          </w:p>
        </w:tc>
        <w:tc>
          <w:tcPr>
            <w:tcW w:w="140" w:type="dxa"/>
            <w:vAlign w:val="bottom"/>
          </w:tcPr>
          <w:p>
            <w:pPr>
              <w:spacing w:after="0"/>
              <w:rPr>
                <w:sz w:val="18"/>
                <w:szCs w:val="18"/>
                <w:color w:val="auto"/>
              </w:rPr>
            </w:pP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129,119</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(14,944)</w:t>
            </w:r>
          </w:p>
        </w:tc>
        <w:tc>
          <w:tcPr>
            <w:tcW w:w="0" w:type="dxa"/>
            <w:vAlign w:val="bottom"/>
          </w:tcPr>
          <w:p>
            <w:pPr>
              <w:spacing w:after="0"/>
              <w:rPr>
                <w:sz w:val="1"/>
                <w:szCs w:val="1"/>
                <w:color w:val="auto"/>
              </w:rPr>
            </w:pPr>
          </w:p>
        </w:tc>
      </w:tr>
      <w:tr>
        <w:trPr>
          <w:trHeight w:val="216"/>
        </w:trPr>
        <w:tc>
          <w:tcPr>
            <w:tcW w:w="35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Service revenue</w:t>
            </w:r>
          </w:p>
        </w:tc>
        <w:tc>
          <w:tcPr>
            <w:tcW w:w="18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3,918</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6,128</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(2,210)</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9,399</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10,985</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(1,586)</w:t>
            </w:r>
          </w:p>
        </w:tc>
        <w:tc>
          <w:tcPr>
            <w:tcW w:w="0" w:type="dxa"/>
            <w:vAlign w:val="bottom"/>
          </w:tcPr>
          <w:p>
            <w:pPr>
              <w:spacing w:after="0"/>
              <w:rPr>
                <w:sz w:val="1"/>
                <w:szCs w:val="1"/>
                <w:color w:val="auto"/>
              </w:rPr>
            </w:pPr>
          </w:p>
        </w:tc>
      </w:tr>
      <w:tr>
        <w:trPr>
          <w:trHeight w:val="20"/>
        </w:trPr>
        <w:tc>
          <w:tcPr>
            <w:tcW w:w="35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revenues</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9,162</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29,733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(20,571)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123,574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140,104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(16,530)</w:t>
            </w:r>
          </w:p>
        </w:tc>
        <w:tc>
          <w:tcPr>
            <w:tcW w:w="0" w:type="dxa"/>
            <w:vAlign w:val="bottom"/>
          </w:tcPr>
          <w:p>
            <w:pPr>
              <w:spacing w:after="0"/>
              <w:rPr>
                <w:sz w:val="1"/>
                <w:szCs w:val="1"/>
                <w:color w:val="auto"/>
              </w:rPr>
            </w:pPr>
          </w:p>
        </w:tc>
      </w:tr>
      <w:tr>
        <w:trPr>
          <w:trHeight w:val="216"/>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Expenses (Income)</w:t>
            </w:r>
          </w:p>
        </w:tc>
        <w:tc>
          <w:tcPr>
            <w:tcW w:w="1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Cost of license and royalty revenues</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(4,584)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14,370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(1,113)</w:t>
            </w:r>
          </w:p>
        </w:tc>
        <w:tc>
          <w:tcPr>
            <w:tcW w:w="0" w:type="dxa"/>
            <w:vAlign w:val="bottom"/>
          </w:tcPr>
          <w:p>
            <w:pPr>
              <w:spacing w:after="0"/>
              <w:rPr>
                <w:sz w:val="1"/>
                <w:szCs w:val="1"/>
                <w:color w:val="auto"/>
              </w:rPr>
            </w:pPr>
          </w:p>
        </w:tc>
      </w:tr>
      <w:tr>
        <w:trPr>
          <w:trHeight w:val="216"/>
        </w:trPr>
        <w:tc>
          <w:tcPr>
            <w:tcW w:w="35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61,009</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56,101</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4,908</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174,434</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168,688</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5,746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20,579</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63,501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60,483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Gain on litigation settlement</w:t>
            </w:r>
          </w:p>
        </w:tc>
        <w:tc>
          <w:tcPr>
            <w:tcW w:w="18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(38,026)</w:t>
            </w:r>
          </w:p>
        </w:tc>
        <w:tc>
          <w:tcPr>
            <w:tcW w:w="2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(38,026)</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(38,026)</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(38,026)</w:t>
            </w:r>
          </w:p>
        </w:tc>
        <w:tc>
          <w:tcPr>
            <w:tcW w:w="0" w:type="dxa"/>
            <w:vAlign w:val="bottom"/>
          </w:tcPr>
          <w:p>
            <w:pPr>
              <w:spacing w:after="0"/>
              <w:rPr>
                <w:sz w:val="1"/>
                <w:szCs w:val="1"/>
                <w:color w:val="auto"/>
              </w:rPr>
            </w:pPr>
          </w:p>
        </w:tc>
      </w:tr>
      <w:tr>
        <w:trPr>
          <w:trHeight w:val="216"/>
        </w:trPr>
        <w:tc>
          <w:tcPr>
            <w:tcW w:w="3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operating expenses (income)</w:t>
            </w:r>
          </w:p>
        </w:tc>
        <w:tc>
          <w:tcPr>
            <w:tcW w:w="18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44,696</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82,144</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(37,448)</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213,207</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243,666</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(30,459)</w:t>
            </w:r>
          </w:p>
        </w:tc>
        <w:tc>
          <w:tcPr>
            <w:tcW w:w="0" w:type="dxa"/>
            <w:vAlign w:val="bottom"/>
          </w:tcPr>
          <w:p>
            <w:pPr>
              <w:spacing w:after="0"/>
              <w:rPr>
                <w:sz w:val="1"/>
                <w:szCs w:val="1"/>
                <w:color w:val="auto"/>
              </w:rPr>
            </w:pPr>
          </w:p>
        </w:tc>
      </w:tr>
      <w:tr>
        <w:trPr>
          <w:trHeight w:val="20"/>
        </w:trPr>
        <w:tc>
          <w:tcPr>
            <w:tcW w:w="35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from operations</w:t>
            </w:r>
          </w:p>
        </w:tc>
        <w:tc>
          <w:tcPr>
            <w:tcW w:w="18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(35,534)</w:t>
            </w:r>
          </w:p>
        </w:tc>
        <w:tc>
          <w:tcPr>
            <w:tcW w:w="2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(52,411)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16,877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(89,633)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(103,562)</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1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Interest income from licensing</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35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Investment income</w:t>
            </w:r>
          </w:p>
        </w:tc>
        <w:tc>
          <w:tcPr>
            <w:tcW w:w="18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2,252</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3,620</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(1,368)</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5,477</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9,500</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(4,023)</w:t>
            </w:r>
          </w:p>
        </w:tc>
        <w:tc>
          <w:tcPr>
            <w:tcW w:w="0" w:type="dxa"/>
            <w:vAlign w:val="bottom"/>
          </w:tcPr>
          <w:p>
            <w:pPr>
              <w:spacing w:after="0"/>
              <w:rPr>
                <w:sz w:val="1"/>
                <w:szCs w:val="1"/>
                <w:color w:val="auto"/>
              </w:rPr>
            </w:pPr>
          </w:p>
        </w:tc>
      </w:tr>
      <w:tr>
        <w:trPr>
          <w:trHeight w:val="216"/>
        </w:trPr>
        <w:tc>
          <w:tcPr>
            <w:tcW w:w="3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(7,472)</w:t>
            </w:r>
          </w:p>
        </w:tc>
        <w:tc>
          <w:tcPr>
            <w:tcW w:w="2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(13,169)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(23,973)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(32,732)</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18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(5,204)</w:t>
            </w:r>
          </w:p>
        </w:tc>
        <w:tc>
          <w:tcPr>
            <w:tcW w:w="2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(9,530)</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4,326</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(18,447)</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(23,167)</w:t>
            </w: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(40,738)</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(61,941)</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21,203</w:t>
            </w:r>
          </w:p>
        </w:tc>
        <w:tc>
          <w:tcPr>
            <w:tcW w:w="14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(108,080)</w:t>
            </w: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(126,729)</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-2125345</wp:posOffset>
            </wp:positionV>
            <wp:extent cx="7683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-2125345</wp:posOffset>
            </wp:positionV>
            <wp:extent cx="7747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-2125345</wp:posOffset>
            </wp:positionV>
            <wp:extent cx="6858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-2125345</wp:posOffset>
            </wp:positionV>
            <wp:extent cx="6858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-2125345</wp:posOffset>
            </wp:positionV>
            <wp:extent cx="6858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-2125345</wp:posOffset>
            </wp:positionV>
            <wp:extent cx="6858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-1010920</wp:posOffset>
            </wp:positionV>
            <wp:extent cx="7683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-1010920</wp:posOffset>
            </wp:positionV>
            <wp:extent cx="7747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-1010920</wp:posOffset>
            </wp:positionV>
            <wp:extent cx="6858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-1010920</wp:posOffset>
            </wp:positionV>
            <wp:extent cx="6858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-1010920</wp:posOffset>
            </wp:positionV>
            <wp:extent cx="6858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-1010920</wp:posOffset>
            </wp:positionV>
            <wp:extent cx="6858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-170815</wp:posOffset>
            </wp:positionV>
            <wp:extent cx="76835"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-170815</wp:posOffset>
            </wp:positionV>
            <wp:extent cx="7747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-170815</wp:posOffset>
            </wp:positionV>
            <wp:extent cx="6858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-170815</wp:posOffset>
            </wp:positionV>
            <wp:extent cx="6858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-170815</wp:posOffset>
            </wp:positionV>
            <wp:extent cx="6858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September 30, 2026 and 2025</w:t>
      </w:r>
    </w:p>
    <w:p>
      <w:pPr>
        <w:spacing w:after="0" w:line="119" w:lineRule="exact"/>
        <w:rPr>
          <w:sz w:val="20"/>
          <w:szCs w:val="20"/>
          <w:color w:val="auto"/>
        </w:rPr>
      </w:pPr>
    </w:p>
    <w:p>
      <w:pPr>
        <w:jc w:val="both"/>
        <w:ind w:right="26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License and Royalty Revenue. </w:t>
      </w:r>
      <w:r>
        <w:rPr>
          <w:rFonts w:ascii="Times New Roman" w:cs="Times New Roman" w:eastAsia="Times New Roman" w:hAnsi="Times New Roman"/>
          <w:sz w:val="18"/>
          <w:szCs w:val="18"/>
          <w:color w:val="auto"/>
        </w:rPr>
        <w:t>License and royalty revenue decreased by $18.4 million, from $23.6 million for the three months ended September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30, 2025 to $5.2 million for the three months ended September 30, 2026. The decrease was primarily attributable to Zolgensma royalty revenues for the third quarter of 2026.</w:t>
      </w:r>
    </w:p>
    <w:p>
      <w:pPr>
        <w:spacing w:after="0" w:line="175"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Combined Zolgensma and Itvisma royalties decreased by $18.3 million, from $23.6 million for the third quarter of 2025 to $5.2 million for the third quarter of 2026. Novartis reported combined Zolgensma and Itvisma sales of $404 million for the third quarter of 2026, as compared to $301 million for the third quarter of 2025. Per Novartis, sales growth was driven by continued launch momentum from Itvisma, while Zolgensma maintained market leadership in the incident SMA population. Zolgensma royalties for the third quarter of 2026 were $2.4 million, a decrease of $21.2 million from the third quarter of 2025, which was primarily attributable to the expiration of licensed patents in the United States in January 2026. We are entitled to continued royalties on net sales of Zolgensma in approximately 20 countries where licensed patents remain active. Itvisma royalties for the third quarter of 2026 were $2.8 million. Itvisma was approved in the United States in the fourth quarter of 2025, with U.S. sales commencing in the first quarter of 2026. Itvisma is now also approved in the EU, Japan and multiple Gulf countries. Licensed patents covering the use of Itvisma have issued in the United States and certain other countries and we are entitled to ongoing royalties on certain net sales of Itvisma in these territories.</w:t>
      </w:r>
    </w:p>
    <w:p>
      <w:pPr>
        <w:spacing w:after="0" w:line="186"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Expense. </w:t>
      </w:r>
      <w:r>
        <w:rPr>
          <w:rFonts w:ascii="Times New Roman" w:cs="Times New Roman" w:eastAsia="Times New Roman" w:hAnsi="Times New Roman"/>
          <w:sz w:val="18"/>
          <w:szCs w:val="18"/>
          <w:color w:val="auto"/>
        </w:rPr>
        <w:t>Research and development expenses increased by $4.9 million, from $56.1 million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2025 to $61.0 million for the three months ended September 30, 2026. The increase was primarily attributable to a $7.1 million increase in costs associated with clinical trials and regulatory activities, largely driven by expenses for RGX-202 clinical trials. The increase in research and development expenses was partially offset by a decrease of $1.0 million in personnel-related costs, largely driven by a $0.9 million decrease in stock-based compensation expense.</w:t>
      </w:r>
    </w:p>
    <w:p>
      <w:pPr>
        <w:spacing w:after="0" w:line="183" w:lineRule="exact"/>
        <w:rPr>
          <w:sz w:val="20"/>
          <w:szCs w:val="20"/>
          <w:color w:val="auto"/>
        </w:rPr>
      </w:pPr>
    </w:p>
    <w:p>
      <w:pPr>
        <w:ind w:right="20"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Gain on Litigation Settlement. </w:t>
      </w:r>
      <w:r>
        <w:rPr>
          <w:rFonts w:ascii="Times New Roman" w:cs="Times New Roman" w:eastAsia="Times New Roman" w:hAnsi="Times New Roman"/>
          <w:sz w:val="18"/>
          <w:szCs w:val="18"/>
          <w:color w:val="auto"/>
        </w:rPr>
        <w:t>In September 2026, we entered into a settlement agreement with Sarepta Therapeutics, Inc. (Sarepta) to resolve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patent litigation matters between the parties. Pursuant to the settlement agreement, we received a $39.0 million settlement payment from Sarepta, which was recorded as other current assets as of September 30, 2026 and received in full in October 2026. We recorded a gain of $38.0 million in the third quarter of 2026 related to the settlement, which consisted of the $39.0 million settlement payment from Sarepta, net of proceeds payable by us to certain licensors as a result of the settlement. For further information regarding the settlement agreement with Sarepta, please refer to Note 8, “Commitments and Contingencies—Sarepta Therapeutics Settlement Agreement” to the accompanying unaudited consolidated financial statements.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325" w:lineRule="exact"/>
        <w:rPr>
          <w:sz w:val="20"/>
          <w:szCs w:val="20"/>
          <w:color w:val="auto"/>
        </w:rPr>
      </w:pPr>
    </w:p>
    <w:p>
      <w:pPr>
        <w:jc w:val="both"/>
        <w:ind w:right="2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Interest expense decreased by $5.7 million, from $13.2 million for the three months ended September 30, 2025 to $7.5 million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three months ended September 30, 2026. The decrease was primarily attributable to lower interest costs under our royalty monetization liabilities driven by reduced principal outstanding under the 2020 Royalty Purchase Agreement.</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Nine Months Ended September 30, 2026 and 2025</w:t>
      </w:r>
    </w:p>
    <w:p>
      <w:pPr>
        <w:spacing w:after="0" w:line="119"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License and Royalty Revenue. </w:t>
      </w:r>
      <w:r>
        <w:rPr>
          <w:rFonts w:ascii="Times New Roman" w:cs="Times New Roman" w:eastAsia="Times New Roman" w:hAnsi="Times New Roman"/>
          <w:sz w:val="18"/>
          <w:szCs w:val="18"/>
          <w:color w:val="auto"/>
        </w:rPr>
        <w:t>License and royalty revenue decreased by $14.9 million, from $129.1 million for the nine months ended September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30, 2025 to $114.2 million for the nine months ended September 30, 2026. The decrease was primarily attributable to $70.0 million of non-recurring, upfront license revenue recognized under our collaboration with Nippon Shinyaku in the first quarter of 2025 and a decrease in Zolgensma royalty revenues for the first nine months of 2026. The decrease in license and royalty revenue was partially offset by $100.0 million of license revenue recognized in the second quarter of 2026 upon the achievement of a development milestone under our sura-vec collaboration with AbbVie for the first patient dosed in the NAAVIGATE trial.</w:t>
      </w:r>
    </w:p>
    <w:p>
      <w:pPr>
        <w:spacing w:after="0" w:line="184"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Combined Zolgensma and Itvisma royalties decreased by $44.9 million, from $59.0 million for the nine months ended September 30, 2025 to $14.1 million for the nine months ended September 30, 2026. Novartis reported combined Zolgensma and Itvisma sales of $1.07 billion for the nine months ended September 30, 2026, as compared to $925 million for the nine months ended September 30, 2025. Per Novartis, sales growth was driven by continued launch momentum from Itvisma, while Zolgensma maintained market leadership in the incident SMA population. Zolgensma royalties for the nine months ended September 30, 2026 were $8.9 million, a decrease of $50.1 million from the nine months ended September 30, 2025, which was primarily attributable to the expiration of licensed patents in the United States in January 2026. We are entitled to continued royalties on net sales of Zolgensma in approximately 20 countries where licensed patents remain active. Itvisma royalties for the nine months ended September 30, 2026 were $5.2 million. Itvisma was approved in the United States in the fourth quarter of 2025, with U.S. sales commencing in the first quarter of 2026. Itvisma is now also approved in the EU, Japan and multiple Gulf countries. Licensed patents covering the use of Itvisma have issued in the United States and certain other countries and we are entitled to ongoing royalties on certain net sales of Itvisma in these territories.</w:t>
      </w:r>
    </w:p>
    <w:p>
      <w:pPr>
        <w:spacing w:after="0" w:line="192"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Cost of License and Royalty Revenues. </w:t>
      </w:r>
      <w:r>
        <w:rPr>
          <w:rFonts w:ascii="Times New Roman" w:cs="Times New Roman" w:eastAsia="Times New Roman" w:hAnsi="Times New Roman"/>
          <w:sz w:val="18"/>
          <w:szCs w:val="18"/>
          <w:color w:val="auto"/>
        </w:rPr>
        <w:t>Cost of license and royalty revenues decreased by $1.1 million, from $14.4 million for the nine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September 30, 2025 to $13.3 million for the nine months ended September 30, 2026. The decrease was largely driven by lower upstream royalties on net sales of Zolgensma, consistent with the decrease in Zolgensma royalty revenues. The decrease in cost of license and royalty revenues was partially offset by a non-recurring charge of $10.0 million in the first quarter of 2026 related to a settlement with GlaxoSmithKline LLC (GSK) to resolve a dispute over sublicense fee obligations under our license agreement with GSK. For further information regarding the settlement agreement with GSK, please refer to Note 8, “Commitments and Contingencies—GlaxoSmithKline—GSK Settlement Agreement” to the accompanying unaudited consolidated financial statements.</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 xml:space="preserve">Research and Development Expense. </w:t>
      </w:r>
      <w:r>
        <w:rPr>
          <w:rFonts w:ascii="Times New Roman" w:cs="Times New Roman" w:eastAsia="Times New Roman" w:hAnsi="Times New Roman"/>
          <w:sz w:val="18"/>
          <w:szCs w:val="18"/>
          <w:color w:val="auto"/>
        </w:rPr>
        <w:t>Research and development expenses increased by $5.7 million, from $168.7 million for the nine months ended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2025 to $174.4 million for the nine months ended September 30, 2026. The increase was primarily attributable to the following:</w:t>
      </w:r>
    </w:p>
    <w:p>
      <w:pPr>
        <w:spacing w:after="0" w:line="207" w:lineRule="exact"/>
        <w:rPr>
          <w:sz w:val="20"/>
          <w:szCs w:val="20"/>
          <w:color w:val="auto"/>
        </w:rPr>
      </w:pPr>
    </w:p>
    <w:p>
      <w:pPr>
        <w:ind w:left="1020" w:right="20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$6.9 million in costs associated with clinical trials and regulatory activities, largely driven by expenses for RGX-202 clinical trials;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$0.8 million in personnel-related costs, net of a $1.2 million decrease in stock-based compensation expense.</w:t>
      </w:r>
    </w:p>
    <w:p>
      <w:pPr>
        <w:spacing w:after="0" w:line="225"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The increase in research and development expenses was partially offset by a decrease of $1.9 million in manufacturing-related expenses and other clinical supply costs for our lead product candidates.</w:t>
      </w:r>
    </w:p>
    <w:p>
      <w:pPr>
        <w:spacing w:after="0" w:line="160" w:lineRule="exact"/>
        <w:rPr>
          <w:sz w:val="20"/>
          <w:szCs w:val="20"/>
          <w:color w:val="auto"/>
        </w:rPr>
      </w:pPr>
    </w:p>
    <w:p>
      <w:pPr>
        <w:ind w:right="8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Expense. </w:t>
      </w:r>
      <w:r>
        <w:rPr>
          <w:rFonts w:ascii="Times New Roman" w:cs="Times New Roman" w:eastAsia="Times New Roman" w:hAnsi="Times New Roman"/>
          <w:sz w:val="18"/>
          <w:szCs w:val="18"/>
          <w:color w:val="auto"/>
        </w:rPr>
        <w:t>General and administrative expenses increased by $3.0 million, from $60.5 million for the nine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2025 to $63.5 million for the nine months ended September 30, 2026. The increase was largely driven by personnel-related costs and commercialization expenses.</w:t>
      </w:r>
    </w:p>
    <w:p>
      <w:pPr>
        <w:spacing w:after="0" w:line="173" w:lineRule="exact"/>
        <w:rPr>
          <w:sz w:val="20"/>
          <w:szCs w:val="20"/>
          <w:color w:val="auto"/>
        </w:rPr>
      </w:pPr>
    </w:p>
    <w:p>
      <w:pPr>
        <w:ind w:right="40"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Gain on Litigation Settlement. </w:t>
      </w:r>
      <w:r>
        <w:rPr>
          <w:rFonts w:ascii="Times New Roman" w:cs="Times New Roman" w:eastAsia="Times New Roman" w:hAnsi="Times New Roman"/>
          <w:sz w:val="18"/>
          <w:szCs w:val="18"/>
          <w:color w:val="auto"/>
        </w:rPr>
        <w:t>In September 2026, we entered into a settlement agreement with Sarepta to resolve all patent litigation matters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between the parties. Pursuant to the settlement agreement, we received a $39.0 million settlement payment from Sarepta, which was recorded as other current assets as of September 30, 2026 and received in full in October 2026. We recorded a gain of $38.0 million in the third quarter of 2026 related to the settlement, which consisted of the $39.0 million settlement payment from Sarepta, net of proceeds payable by us to certain licensors as a result of the settlement. For further information regarding the settlement agreement with Sarepta, please refer to Note 8, “Commitments and Contingencies—Sarepta Therapeutics Settlement Agreement” to the accompanying unaudited consolidated financial statements.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25"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Interest expense decreased by $8.8 million, from $32.7 million for the nine months ended September 30, 2025 to $24.0 million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nine months ended September 30, 2026. The decrease was primarily attributable to lower interest cost under our royalty monetization liabilities driven by reduced principal outstanding under the 2020 Royalty Purchase Agreement. The decrease in interest expense was partially offset by an increase in interest expense under the 2025 Royalty Bond since its issuance in May 2025.</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21"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As of September 30, 2026, we had cash, cash equivalents and marketable securities of $251.0 million, which were primarily derived from our royalty monetization with HCR in May 2025, milestone payments under our license and collaboration agreements, public offerings of common stock and pre-funded warrants, and sales of common stock under our at-the-market offering program.</w:t>
      </w:r>
    </w:p>
    <w:p>
      <w:pPr>
        <w:spacing w:after="0" w:line="176"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In June 2026, we dosed the first patient in the NAAVIGATE trial, resulting in a $100.0 million development milestone payment under our sura-vec collaboration with AbbVie. The $100.0 million milestone payment was received from AbbVie in July 2026.</w:t>
      </w:r>
    </w:p>
    <w:p>
      <w:pPr>
        <w:spacing w:after="0" w:line="162"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In July 2026, we completed a public offering of 11,671,139 shares of our common stock at a price of $9.00 per share and 1,111,111 pre-funded warrants to purchase shares of our common stock at a price of $8.9999 per pre-funded warrant, which equaled the public offering price per share of the common stock less the $0.0001 exercise price of each pre-funded warrant. The aggregate net proceeds received from the offering were $107.8 million, net of underwriting discounts and commissions and offering expenses.</w:t>
      </w:r>
    </w:p>
    <w:p>
      <w:pPr>
        <w:spacing w:after="0" w:line="180"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In December 2024, we entered into a Sales Agreement with Leerink Partners LLC (Leerink) pursuant to which we may offer and sell shares of our common stock having an aggregate offering price of up to $150.0 million from time to time through Leerink, acting as our sales agent (the ATM Program). During the second quarter of 2026, we sold 2,318,735 shares of common stock under the ATM Program for aggregate net proceeds of $18.9 million after deducting commissions and offering expenses. No shares of common stock were sold under the ATM Program prior to the second quarter of 2026.</w:t>
      </w:r>
    </w:p>
    <w:p>
      <w:pPr>
        <w:spacing w:after="0" w:line="180"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In September 2026, we entered into a settlement agreement with Sarepta to resolve all patent litigation matters between the parties. Pursuant to the settlement agreement, we received a $39.0 million settlement payment from Sarepta in October 2026.</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Liquidity and Ability to Continue as a Going Concern</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We intend to devote the majority of our current capital to preclinical research, clinical development, seeking regulatory approval of our product candidates and, if approved, commercialization of our product candidates, as well as additional capital expenditures needed to support these activities. Because of the numerous risks and uncertainties associated with the development and commercialization of gene therapy product candidates, we are unable to estimate the total amount of operating expenditures and capital outlays necessary to complete the development and commercialization of our product candidates.</w:t>
      </w:r>
    </w:p>
    <w:p>
      <w:pPr>
        <w:spacing w:after="0" w:line="183"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expect that our cash, cash equivalents and marketable securities of $251.0 million as of September 30, 2026, along with the $39.0 million in settlement proceeds received from Sarepta in October 2026, are sufficient to fund our operating expenses and capital expenditure requirements, and to meet our financial commitments and obligations, into the late fourth quarter of 2027. This estimate is based on our current operating plan, and excludes the potential effects of any future financings or material milestone payments that may be received under our licensing and collaboration arrangements. We have based this estimate on assumptions that may prove to be wrong, and we could exhaust our capital resources sooner than expected. These conditions raise substantial doubt about our ability to continue as a going concern within 12 months from the issuance date of our consolidated financial statements for the three and nine months ended September 30, 2026 included in this Quarterly Report on Form 10-Q. Our ability to continue as a going concern will depend heavily on the successful development, approval and commercialization of our product candidates and our ability to raise additional capital to fund operations. If we are unable to raise capital sufficient to meet our working capital needs in the future, we may be forced to delay expenditures, reduce the scope of our development activities or make other changes to our operating plans.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consolidated cash flows were as follows (in thousands):</w:t>
      </w:r>
    </w:p>
    <w:p>
      <w:pPr>
        <w:spacing w:after="0" w:line="219"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6200" w:type="dxa"/>
            <w:vAlign w:val="bottom"/>
          </w:tcPr>
          <w:p>
            <w:pPr>
              <w:spacing w:after="0"/>
              <w:rPr>
                <w:sz w:val="15"/>
                <w:szCs w:val="15"/>
                <w:color w:val="auto"/>
              </w:rPr>
            </w:pPr>
          </w:p>
        </w:tc>
        <w:tc>
          <w:tcPr>
            <w:tcW w:w="3120" w:type="dxa"/>
            <w:vAlign w:val="bottom"/>
            <w:tcBorders>
              <w:bottom w:val="single" w:sz="8" w:color="auto"/>
            </w:tcBorders>
            <w:gridSpan w:val="5"/>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6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6200" w:type="dxa"/>
            <w:vAlign w:val="bottom"/>
          </w:tcPr>
          <w:p>
            <w:pPr>
              <w:spacing w:after="0"/>
              <w:rPr>
                <w:sz w:val="12"/>
                <w:szCs w:val="12"/>
                <w:color w:val="auto"/>
              </w:rPr>
            </w:pPr>
          </w:p>
        </w:tc>
        <w:tc>
          <w:tcPr>
            <w:tcW w:w="11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6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210"/>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100" w:type="dxa"/>
            <w:vAlign w:val="bottom"/>
            <w:shd w:val="clear" w:color="auto" w:fill="CFF0FC"/>
          </w:tcPr>
          <w:p>
            <w:pPr>
              <w:jc w:val="right"/>
              <w:ind w:right="919"/>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(99,815)</w:t>
            </w:r>
          </w:p>
        </w:tc>
        <w:tc>
          <w:tcPr>
            <w:tcW w:w="1200" w:type="dxa"/>
            <w:vAlign w:val="bottom"/>
            <w:gridSpan w:val="2"/>
            <w:shd w:val="clear" w:color="auto" w:fill="CFF0FC"/>
          </w:tcPr>
          <w:p>
            <w:pPr>
              <w:jc w:val="right"/>
              <w:ind w:right="94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(71,673)</w:t>
            </w: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50,360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(53,406)</w:t>
            </w:r>
          </w:p>
        </w:tc>
      </w:tr>
      <w:tr>
        <w:trPr>
          <w:trHeight w:val="216"/>
        </w:trPr>
        <w:tc>
          <w:tcPr>
            <w:tcW w:w="62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10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110,784</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126,355</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6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increase in cash and cash equivalents and restricted cash</w:t>
            </w:r>
          </w:p>
        </w:tc>
        <w:tc>
          <w:tcPr>
            <w:tcW w:w="1100" w:type="dxa"/>
            <w:vAlign w:val="bottom"/>
          </w:tcPr>
          <w:p>
            <w:pPr>
              <w:jc w:val="right"/>
              <w:ind w:right="919"/>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61,329</w:t>
            </w:r>
          </w:p>
        </w:tc>
        <w:tc>
          <w:tcPr>
            <w:tcW w:w="160" w:type="dxa"/>
            <w:vAlign w:val="bottom"/>
          </w:tcPr>
          <w:p>
            <w:pPr>
              <w:spacing w:after="0"/>
              <w:rPr>
                <w:sz w:val="18"/>
                <w:szCs w:val="18"/>
                <w:color w:val="auto"/>
              </w:rPr>
            </w:pPr>
          </w:p>
        </w:tc>
        <w:tc>
          <w:tcPr>
            <w:tcW w:w="1200" w:type="dxa"/>
            <w:vAlign w:val="bottom"/>
            <w:gridSpan w:val="2"/>
          </w:tcPr>
          <w:p>
            <w:pPr>
              <w:jc w:val="right"/>
              <w:ind w:right="948"/>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120" w:type="dxa"/>
            <w:vAlign w:val="bottom"/>
          </w:tcPr>
          <w:p>
            <w:pPr>
              <w:spacing w:after="0"/>
              <w:rPr>
                <w:sz w:val="18"/>
                <w:szCs w:val="18"/>
                <w:color w:val="auto"/>
              </w:rPr>
            </w:pPr>
          </w:p>
        </w:tc>
      </w:tr>
      <w:tr>
        <w:trPr>
          <w:trHeight w:val="20"/>
        </w:trPr>
        <w:tc>
          <w:tcPr>
            <w:tcW w:w="62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5422900</wp:posOffset>
            </wp:positionH>
            <wp:positionV relativeFrom="paragraph">
              <wp:posOffset>-170815</wp:posOffset>
            </wp:positionV>
            <wp:extent cx="60325"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-170815</wp:posOffset>
            </wp:positionV>
            <wp:extent cx="6858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2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p>
      <w:pPr>
        <w:spacing w:after="0" w:line="119"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Our net cash used in operating activities for the nine months ended September 30, 2026 increased by $28.1 million from the nine months ended September 30, 2025. We received a $100.0 million milestone payment from AbbVie in July 2026 and a $110.0 million up-front payment from Nippon Shinyaku in March 2025, each of which partially offset our net cash used in operating activities for the respective periods. We expect to continue to incur regular net cash outflows from operations for the foreseeable future, which from time to time may be offset by non-recurring payments received under our license and collaboration arrangements, as we continue the development and advancement of our product candidates and other research programs.</w:t>
      </w:r>
    </w:p>
    <w:p>
      <w:pPr>
        <w:spacing w:after="0" w:line="183"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For the nine months ended September 30, 2026, our net cash used in operating activities of $99.8 million consisted of a net loss of $108.1 million and unfavorable changes in operating assets and liabilities of $42.9 million, offset by adjustments for non-cash items of $51.1 million. The changes in operating assets and liabilities include an increase in other current assets of $35.4 million, which was primarily attributable to the $39.0 million settlement payment due from Sarepta as of September 30, 2026 and received in October 2026. The unfavorable changes in operating assets and liabilities also include a decrease in accrued expenses and other current liabilities of $9.1 million, which was driven largely by decreases in accrued personnel-related expenses, royalties and sublicense fees, and external research and development services, as well as a decrease in deferred revenue of $7.2 million driven by service revenue recognized under our collaboration with Nippon Shinyaku. The unfavorable changes in operating assets and liabilities were partially offset by a decrease in accounts receivable of $19.8 million, which was driven primarily by a decrease in royalties due from Novartis. Other changes in operating working capital occurred in the normal course of business. Adjustments for non-cash items primarily consisted of stock-based compensation expense of $25.8 million, depreciation and amortization expense of $11.1 million and non-cash interest expense of $15.9 million.</w:t>
      </w:r>
    </w:p>
    <w:p>
      <w:pPr>
        <w:spacing w:after="0" w:line="194"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For the nine months ended September 30, 2025, our net cash used in operating activities of $71.7 million consisted of a net loss of $126.7 million, offset by adjustments for non-cash items of $41.5 million and favorable changes in operating assets and liabilities of $13.6 million. Adjustments for non-cash items primarily consisted of stock-based compensation expense of $26.2 million and depreciation and amortization expense of $11.7 million. The changes in operating assets and liabilities include an increase in deferred revenue of $34.3 million, which was primarily attributable to the deferred portion of the $110.0 million up-front payment received under our collaboration with Nippon Shinyaku in the first quarter of 2025. The favorable changes in operating assets and liabilities were partially offset by an increase in prepaid expenses and other current assets of $9.5 million, which was driven largely by an increase in net cost reimbursement due from AbbVie under our ABBV-RGX-314 collaboration, and an increase in accounts receivable of $7.1 million, which was driven largely by reimbursable costs due from Nippon Shinyaku under our collaboration for RGX-121 and RGX-111. Other changes in operating working capital occurred in the normal course of business.</w:t>
      </w:r>
    </w:p>
    <w:p>
      <w:pPr>
        <w:spacing w:after="0" w:line="2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p>
      <w:pPr>
        <w:spacing w:after="0" w:line="119" w:lineRule="exact"/>
        <w:rPr>
          <w:sz w:val="20"/>
          <w:szCs w:val="20"/>
          <w:color w:val="auto"/>
        </w:rPr>
      </w:pPr>
    </w:p>
    <w:p>
      <w:pPr>
        <w:ind w:right="40" w:firstLine="509"/>
        <w:spacing w:after="0" w:line="312" w:lineRule="auto"/>
        <w:rPr>
          <w:sz w:val="20"/>
          <w:szCs w:val="20"/>
          <w:color w:val="auto"/>
        </w:rPr>
      </w:pPr>
      <w:r>
        <w:rPr>
          <w:rFonts w:ascii="Times New Roman" w:cs="Times New Roman" w:eastAsia="Times New Roman" w:hAnsi="Times New Roman"/>
          <w:sz w:val="17"/>
          <w:szCs w:val="17"/>
          <w:color w:val="auto"/>
        </w:rPr>
        <w:t>For the nine months ended September 30, 2026, our net cash provided by investing activities consisted of $191.3 million in sales and maturities of marketable debt securities, offset by $138.7 million used to purchase marketable debt securities and $2.2 million used to purchase property and equipment.</w:t>
      </w:r>
    </w:p>
    <w:p>
      <w:pPr>
        <w:spacing w:after="0" w:line="140"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2025, our net cash used in investing activities primarily consisted of $269.8 million used to purchase marketable debt securities and $1.9 million used to purchase property and equipment, partially offset by $218.3 million in maturities of marketable debt securities.</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p>
      <w:pPr>
        <w:spacing w:after="0" w:line="119"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For the nine months ended September 30, 2026, our net cash provided by financing activities primarily consisted of $107.8 million in proceeds received from the public offering of common stock and pre-funded warrants completed in July 2026, net of underwriting discounts and commissions and other offering expenses paid during the period, and $18.9 million in proceeds received from sales of common stock under the ATM Program, net of commissions and offering expenses paid during the period. Net cash provided by financing activities was partially offset by $17.2 million of royalties paid, net of interest, under our royalty monetization liabilities.</w:t>
      </w:r>
    </w:p>
    <w:p>
      <w:pPr>
        <w:spacing w:after="0" w:line="183"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2025, our net cash provided by financing activities primarily consisted of $144.5 million in proceeds received from the issuance of the 2025 Royalty Bond and warrants to HCR in May 2025, net of discounts and transaction costs paid during the period, and was partially offset by $18.4 million of royalties paid, net of interest, under our royalty monetization liabilities.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Capital Requirements</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Our material capital requirements from known contractual and other obligations primarily relate to our vendor service contracts and purchase commitments, in-license agreements, operating lease agreements and royalty monetization agreements. Our material commitments and obligations are further described in Item 7, “Management’s Discussion and Analysis of Financial Condition and Results of Operations” of our Annual Report on Form 10-K for the year ended December 31, 2025, and in the notes to the audited consolidated financial statements included in our Annual Report on Form 10-K for the year ended December 31, 2025. Other than the changes described in the notes to the unaudited consolidated financial statements accompanying this Quarterly Report on Form 10-Q, including Note 8, “Commitments and Contingencies,” there have been no material changes to our commitments and obligations since December 31, 2025.</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Funding Requirements</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have incurred cumulative losses since our inception and had an accumulated deficit of $1.23 billion as of September 30, 2026. Our transition to recurring profitability is dependent upon achieving a level of revenues adequate to support our cost structure, which depends heavily on the successful development, approval and commercialization of our product candidates. We do not expect to achieve such revenues, and expect to continue to incur losses, for at least the next several years. We expect to continue to incur significant research and development and general and administrative expenses for the foreseeable future as we continue the development of, and seek regulatory approval for, our product candidates. Subject to obtaining regulatory approval for our product candidates, we expect to incur significant commercialization expenses for product sales, marketing, manufacturing and distribution. Additionally, we expect to continue to incur capital expenditures associated with building out additional laboratory and manufacturing capacity to further support the development of our product candidates and potential commercialization efforts. As a result, we will need significant additional capital to fund our operations, which we may obtain through one or more equity offerings, debt financings or other third-party funding, including potential strategic alliances and licensing or collaboration arrangements.</w:t>
      </w:r>
    </w:p>
    <w:p>
      <w:pPr>
        <w:spacing w:after="0" w:line="1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future capital requirements will depend on many factors, including:</w:t>
      </w:r>
    </w:p>
    <w:p>
      <w:pPr>
        <w:spacing w:after="0" w:line="225" w:lineRule="exact"/>
        <w:rPr>
          <w:sz w:val="20"/>
          <w:szCs w:val="20"/>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enrollment, commencement and completion of our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preclinical studies for our product candidates and any subsequent clinical trials;</w:t>
      </w:r>
    </w:p>
    <w:p>
      <w:pPr>
        <w:spacing w:after="0" w:line="117" w:lineRule="exact"/>
        <w:rPr>
          <w:rFonts w:ascii="Times New Roman" w:cs="Times New Roman" w:eastAsia="Times New Roman" w:hAnsi="Times New Roman"/>
          <w:sz w:val="18"/>
          <w:szCs w:val="18"/>
          <w:color w:val="auto"/>
        </w:rPr>
      </w:pPr>
    </w:p>
    <w:p>
      <w:pPr>
        <w:ind w:left="1020" w:right="64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drug discovery, laboratory testing, preclinical development and clinical trials for our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costs due to clinical holds or CRLs;</w:t>
      </w:r>
    </w:p>
    <w:p>
      <w:pPr>
        <w:spacing w:after="0" w:line="117" w:lineRule="exact"/>
        <w:rPr>
          <w:rFonts w:ascii="Times New Roman" w:cs="Times New Roman" w:eastAsia="Times New Roman" w:hAnsi="Times New Roman"/>
          <w:sz w:val="18"/>
          <w:szCs w:val="18"/>
          <w:color w:val="auto"/>
        </w:rPr>
      </w:pPr>
    </w:p>
    <w:p>
      <w:pPr>
        <w:ind w:left="1020" w:right="60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receive a priority review voucher and are able to monetize or otherwise realize any potential value associated with such a voucher;</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any priority review voucher received, and any diminishing value due to a decrease in demand for these vouchers;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building out additional laboratory and manufacturing capacity;</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19" w:lineRule="exact"/>
        <w:rPr>
          <w:sz w:val="20"/>
          <w:szCs w:val="20"/>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government-imposed tariffs on cost of goods and services, particularly related to partnered product candidates;</w:t>
      </w:r>
    </w:p>
    <w:p>
      <w:pPr>
        <w:spacing w:after="0" w:line="117"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future product sales, medical affairs, marketing, manufacturing and distribution activities for any of our product candidates for which we receive marketing approval;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if any, received from commercial sales of our products, should any of our product candidates receive marketing approval;</w:t>
      </w:r>
    </w:p>
    <w:p>
      <w:pPr>
        <w:spacing w:after="0" w:line="117"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received from commercial sales of Zolgensma and Itvisma, and the timing and amount of Zolgensma and Itvisma royalties paid to HCR under our royalty monetization agreements;</w:t>
      </w:r>
    </w:p>
    <w:p>
      <w:pPr>
        <w:spacing w:after="0" w:line="53" w:lineRule="exact"/>
        <w:rPr>
          <w:rFonts w:ascii="Times New Roman" w:cs="Times New Roman" w:eastAsia="Times New Roman" w:hAnsi="Times New Roman"/>
          <w:sz w:val="18"/>
          <w:szCs w:val="18"/>
          <w:color w:val="auto"/>
        </w:rPr>
      </w:pPr>
    </w:p>
    <w:p>
      <w:pPr>
        <w:ind w:left="1020" w:right="240" w:hanging="503"/>
        <w:spacing w:after="0" w:line="266"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received from other commercial sales of our licensees’ and collaborators’ products, should any of their product candidates receive marketing approval, other revenue received under our licensing agreements and collaborations, and the timing and amount of any such revenues payable to HCR under our royalty monetization agreements;</w:t>
      </w:r>
    </w:p>
    <w:p>
      <w:pPr>
        <w:spacing w:after="0" w:line="67"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enforcing our intellectual property rights, and defending any intellectual property-related claims;</w:t>
      </w:r>
    </w:p>
    <w:p>
      <w:pPr>
        <w:spacing w:after="0" w:line="53" w:lineRule="exact"/>
        <w:rPr>
          <w:rFonts w:ascii="Times New Roman" w:cs="Times New Roman" w:eastAsia="Times New Roman" w:hAnsi="Times New Roman"/>
          <w:sz w:val="18"/>
          <w:szCs w:val="18"/>
          <w:color w:val="auto"/>
        </w:rPr>
      </w:pPr>
    </w:p>
    <w:p>
      <w:pPr>
        <w:ind w:left="1020" w:right="120" w:hanging="503"/>
        <w:spacing w:after="0" w:line="266"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licensing agreements or collaborations remaining in effect, including the AbbVie Collaboration Agreement relating to sura-vec and the Nippon Shinyaku Collaboration Agreement relating to RGX-121 and RGX-111, and our ability to timely achieve any milestones set forth in such agreements or collaborations;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additional licensing agreements or collaborations on favorable terms, if at all;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other product candidates and technologies.</w:t>
      </w:r>
    </w:p>
    <w:p>
      <w:pPr>
        <w:spacing w:after="0" w:line="225"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 issuance of additional securities, whether equity or debt, by us, including through our at-the-market program, or the possibility of such issuance, may cause the market price of our common stock to decline. Adequate additional financing may not be available to us on acceptable terms, or at all. We also could be required to seek funds through arrangements with partners or otherwise that may require us to relinquish rights to our intellectual property, our product candidates or otherwise agree to terms unfavorable to us.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right="1040" w:firstLine="509"/>
        <w:spacing w:after="0" w:line="282" w:lineRule="auto"/>
        <w:rPr>
          <w:sz w:val="20"/>
          <w:szCs w:val="20"/>
          <w:color w:val="auto"/>
        </w:rPr>
      </w:pPr>
      <w:r>
        <w:rPr>
          <w:rFonts w:ascii="Times New Roman" w:cs="Times New Roman" w:eastAsia="Times New Roman" w:hAnsi="Times New Roman"/>
          <w:sz w:val="18"/>
          <w:szCs w:val="18"/>
          <w:color w:val="auto"/>
        </w:rPr>
        <w:t>We did not have any off-balance sheet arrangements during the periods presented, and we do not currently have, any off-balance sheet arrangements, as defined in the rules and regulations of the SEC.</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For information regarding market risk, refer to Item 7A, “Quantitative and Qualitative Disclosures About Market Risk,” included in our Annual Report on Form 10-K for the year ended December 31, 2025. There have been no material changes to our exposure to market risk during the nine months ended September 30, 2026.</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Conclusion Regarding the Effectiveness of Disclosure Controls and Procedures</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our Chief Financial Officer, evaluated the effectiveness of our disclosure controls and procedures as of September 30, 2026.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w:t>
      </w:r>
    </w:p>
    <w:p>
      <w:pPr>
        <w:spacing w:after="0" w:line="189"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Based on this evaluation, our Chief Executive Officer and Chief Financial Officer concluded that, as of September 30, 2026, our disclosure controls and procedures were effective at a reasonable assurance level.</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that occurred during the quarter ended September 30, 2026 that have materially affected, or are reasonably likely to materially affect, our internal control over financial reporting.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the Effectiveness of Controls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Control systems, no matter how well conceived and operated, are designed to provide a reasonable, but not an absolute, level of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Because of the inherent limitations in any control system, misstatements due to error or fraud may occur and not be detected.</w:t>
      </w:r>
    </w:p>
    <w:p>
      <w:pPr>
        <w:spacing w:after="0" w:line="18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769" w:right="41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1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From time to time, we are party to various lawsuits, claims or other legal proceedings that arise in the normal course of our business. Please see Note 8, “Commitments and Contingencies—Litigation” to the accompanying unaudited consolidated financial statements for additional information.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Our material risk factors are disclosed in Item 1A of our Annual Report on Form 10-K for the year ended December 31, 2025. There have been no material changes from the risk factors previously disclosed in such filing.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Use of Proceeds and Issuer Purchases of Equity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Rule 10b5-1 Trading Plans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During the three months ended September 30, 2026, none of our directors or Section 16 reporting officers adopted or terminated a contract, instruction or written plan for the purchase or sale of our securities that is intended to satisfy the affirmative defense conditions of Rule 10b5-1(c) under the Exchange Act (Rule 10b5-1 Plan) or that constituted a “non-Rule 10b5-1 trading arrangement,” as such term is defined in Item 408(a) of the SEC’s Regulation S-K.</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1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Filed or</w:t>
            </w:r>
          </w:p>
        </w:tc>
        <w:tc>
          <w:tcPr>
            <w:tcW w:w="0" w:type="dxa"/>
            <w:vAlign w:val="bottom"/>
          </w:tcPr>
          <w:p>
            <w:pPr>
              <w:spacing w:after="0"/>
              <w:rPr>
                <w:sz w:val="1"/>
                <w:szCs w:val="1"/>
                <w:color w:val="auto"/>
              </w:rPr>
            </w:pPr>
          </w:p>
        </w:tc>
      </w:tr>
      <w:tr>
        <w:trPr>
          <w:trHeight w:val="117"/>
        </w:trPr>
        <w:tc>
          <w:tcPr>
            <w:tcW w:w="760" w:type="dxa"/>
            <w:vAlign w:val="bottom"/>
            <w:vMerge w:val="restart"/>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6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0" w:type="dxa"/>
            <w:vAlign w:val="bottom"/>
            <w:gridSpan w:val="3"/>
            <w:vMerge w:val="restart"/>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7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5080" w:type="dxa"/>
            <w:vAlign w:val="bottom"/>
            <w:gridSpan w:val="15"/>
            <w:vMerge w:val="restart"/>
          </w:tcPr>
          <w:p>
            <w:pPr>
              <w:ind w:left="21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20" w:type="dxa"/>
            <w:vAlign w:val="bottom"/>
            <w:vMerge w:val="restart"/>
          </w:tcPr>
          <w:p>
            <w:pPr>
              <w:spacing w:after="0"/>
              <w:rPr>
                <w:sz w:val="12"/>
                <w:szCs w:val="12"/>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0" w:type="dxa"/>
            <w:vAlign w:val="bottom"/>
          </w:tcPr>
          <w:p>
            <w:pPr>
              <w:spacing w:after="0"/>
              <w:rPr>
                <w:sz w:val="12"/>
                <w:szCs w:val="12"/>
                <w:color w:val="auto"/>
              </w:rPr>
            </w:pPr>
          </w:p>
        </w:tc>
        <w:tc>
          <w:tcPr>
            <w:tcW w:w="1600" w:type="dxa"/>
            <w:vAlign w:val="bottom"/>
            <w:gridSpan w:val="3"/>
            <w:vMerge w:val="continue"/>
          </w:tcPr>
          <w:p>
            <w:pPr>
              <w:spacing w:after="0"/>
              <w:rPr>
                <w:sz w:val="12"/>
                <w:szCs w:val="12"/>
                <w:color w:val="auto"/>
              </w:rPr>
            </w:pPr>
          </w:p>
        </w:tc>
        <w:tc>
          <w:tcPr>
            <w:tcW w:w="1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Furnished</w:t>
            </w:r>
          </w:p>
        </w:tc>
        <w:tc>
          <w:tcPr>
            <w:tcW w:w="0" w:type="dxa"/>
            <w:vAlign w:val="bottom"/>
          </w:tcPr>
          <w:p>
            <w:pPr>
              <w:spacing w:after="0"/>
              <w:rPr>
                <w:sz w:val="1"/>
                <w:szCs w:val="1"/>
                <w:color w:val="auto"/>
              </w:rPr>
            </w:pPr>
          </w:p>
        </w:tc>
      </w:tr>
      <w:tr>
        <w:trPr>
          <w:trHeight w:val="173"/>
        </w:trPr>
        <w:tc>
          <w:tcPr>
            <w:tcW w:w="7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60" w:type="dxa"/>
            <w:vAlign w:val="bottom"/>
          </w:tcPr>
          <w:p>
            <w:pPr>
              <w:spacing w:after="0"/>
              <w:rPr>
                <w:sz w:val="15"/>
                <w:szCs w:val="15"/>
                <w:color w:val="auto"/>
              </w:rPr>
            </w:pPr>
          </w:p>
        </w:tc>
        <w:tc>
          <w:tcPr>
            <w:tcW w:w="5080" w:type="dxa"/>
            <w:vAlign w:val="bottom"/>
            <w:tcBorders>
              <w:bottom w:val="single" w:sz="8" w:color="auto"/>
            </w:tcBorders>
            <w:gridSpan w:val="15"/>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0" w:type="dxa"/>
            <w:vAlign w:val="bottom"/>
          </w:tcPr>
          <w:p>
            <w:pPr>
              <w:spacing w:after="0"/>
              <w:rPr>
                <w:sz w:val="1"/>
                <w:szCs w:val="1"/>
                <w:color w:val="auto"/>
              </w:rPr>
            </w:pPr>
          </w:p>
        </w:tc>
      </w:tr>
      <w:tr>
        <w:trPr>
          <w:trHeight w:val="291"/>
        </w:trPr>
        <w:tc>
          <w:tcPr>
            <w:tcW w:w="760" w:type="dxa"/>
            <w:vAlign w:val="bottom"/>
          </w:tcPr>
          <w:p>
            <w:pPr>
              <w:jc w:val="right"/>
              <w:ind w:right="354"/>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tcPr>
          <w:p>
            <w:pPr>
              <w:spacing w:after="0"/>
              <w:rPr>
                <w:sz w:val="24"/>
                <w:szCs w:val="24"/>
                <w:color w:val="auto"/>
              </w:rPr>
            </w:pPr>
          </w:p>
        </w:tc>
        <w:tc>
          <w:tcPr>
            <w:tcW w:w="5200" w:type="dxa"/>
            <w:vAlign w:val="bottom"/>
            <w:gridSpan w:val="16"/>
          </w:tcPr>
          <w:p>
            <w:pPr>
              <w:spacing w:after="0"/>
              <w:rPr>
                <w:rFonts w:ascii="Times New Roman" w:cs="Times New Roman" w:eastAsia="Times New Roman" w:hAnsi="Times New Roman"/>
                <w:sz w:val="18"/>
                <w:szCs w:val="18"/>
                <w:color w:val="0000FF"/>
              </w:rPr>
            </w:pPr>
            <w:hyperlink r:id="rId386">
              <w:r>
                <w:rPr>
                  <w:rFonts w:ascii="Times New Roman" w:cs="Times New Roman" w:eastAsia="Times New Roman" w:hAnsi="Times New Roman"/>
                  <w:sz w:val="18"/>
                  <w:szCs w:val="18"/>
                  <w:color w:val="0000FF"/>
                </w:rPr>
                <w:t>Restated Certificate of Incorporation</w:t>
              </w:r>
            </w:hyperlink>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gridSpan w:val="2"/>
          </w:tcPr>
          <w:p>
            <w:pPr>
              <w:jc w:val="center"/>
              <w:ind w:left="35"/>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jc w:val="center"/>
              <w:ind w:right="275"/>
              <w:spacing w:after="0"/>
              <w:rPr>
                <w:sz w:val="20"/>
                <w:szCs w:val="20"/>
                <w:color w:val="auto"/>
              </w:rPr>
            </w:pPr>
            <w:r>
              <w:rPr>
                <w:rFonts w:ascii="Times New Roman" w:cs="Times New Roman" w:eastAsia="Times New Roman" w:hAnsi="Times New Roman"/>
                <w:sz w:val="18"/>
                <w:szCs w:val="18"/>
                <w:color w:val="auto"/>
                <w:w w:val="99"/>
              </w:rPr>
              <w:t>6/7/21</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760" w:type="dxa"/>
            <w:vAlign w:val="bottom"/>
          </w:tcPr>
          <w:p>
            <w:pPr>
              <w:jc w:val="right"/>
              <w:ind w:right="354"/>
              <w:spacing w:after="0"/>
              <w:rPr>
                <w:sz w:val="20"/>
                <w:szCs w:val="20"/>
                <w:color w:val="auto"/>
              </w:rPr>
            </w:pPr>
            <w:r>
              <w:rPr>
                <w:rFonts w:ascii="Times New Roman" w:cs="Times New Roman" w:eastAsia="Times New Roman" w:hAnsi="Times New Roman"/>
                <w:sz w:val="18"/>
                <w:szCs w:val="18"/>
                <w:color w:val="auto"/>
              </w:rPr>
              <w:t>3.2</w:t>
            </w:r>
          </w:p>
        </w:tc>
        <w:tc>
          <w:tcPr>
            <w:tcW w:w="160" w:type="dxa"/>
            <w:vAlign w:val="bottom"/>
          </w:tcPr>
          <w:p>
            <w:pPr>
              <w:spacing w:after="0"/>
              <w:rPr>
                <w:sz w:val="24"/>
                <w:szCs w:val="24"/>
                <w:color w:val="auto"/>
              </w:rPr>
            </w:pPr>
          </w:p>
        </w:tc>
        <w:tc>
          <w:tcPr>
            <w:tcW w:w="2260" w:type="dxa"/>
            <w:vAlign w:val="bottom"/>
            <w:tcBorders>
              <w:top w:val="single" w:sz="8" w:color="0000FF"/>
              <w:bottom w:val="single" w:sz="8" w:color="0000FF"/>
            </w:tcBorders>
          </w:tcPr>
          <w:p>
            <w:pPr>
              <w:spacing w:after="0"/>
              <w:rPr>
                <w:rFonts w:ascii="Times New Roman" w:cs="Times New Roman" w:eastAsia="Times New Roman" w:hAnsi="Times New Roman"/>
                <w:sz w:val="18"/>
                <w:szCs w:val="18"/>
                <w:color w:val="0000FF"/>
                <w:w w:val="99"/>
              </w:rPr>
            </w:pPr>
            <w:hyperlink r:id="rId387">
              <w:r>
                <w:rPr>
                  <w:rFonts w:ascii="Times New Roman" w:cs="Times New Roman" w:eastAsia="Times New Roman" w:hAnsi="Times New Roman"/>
                  <w:sz w:val="18"/>
                  <w:szCs w:val="18"/>
                  <w:color w:val="0000FF"/>
                  <w:w w:val="99"/>
                </w:rPr>
                <w:t>Amended and Restated Bylaws</w:t>
              </w:r>
            </w:hyperlink>
          </w:p>
        </w:tc>
        <w:tc>
          <w:tcPr>
            <w:tcW w:w="20" w:type="dxa"/>
            <w:vAlign w:val="bottom"/>
            <w:tcBorders>
              <w:top w:val="single" w:sz="8" w:color="0000FF"/>
              <w:bottom w:val="single" w:sz="8" w:color="0000EE"/>
            </w:tcBorders>
          </w:tcPr>
          <w:p>
            <w:pPr>
              <w:spacing w:after="0"/>
              <w:rPr>
                <w:sz w:val="24"/>
                <w:szCs w:val="24"/>
                <w:color w:val="auto"/>
              </w:rPr>
            </w:pPr>
          </w:p>
        </w:tc>
        <w:tc>
          <w:tcPr>
            <w:tcW w:w="360" w:type="dxa"/>
            <w:vAlign w:val="bottom"/>
            <w:tcBorders>
              <w:top w:val="single" w:sz="8" w:color="0000FF"/>
            </w:tcBorders>
            <w:gridSpan w:val="3"/>
          </w:tcPr>
          <w:p>
            <w:pPr>
              <w:spacing w:after="0"/>
              <w:rPr>
                <w:sz w:val="24"/>
                <w:szCs w:val="24"/>
                <w:color w:val="auto"/>
              </w:rPr>
            </w:pPr>
          </w:p>
        </w:tc>
        <w:tc>
          <w:tcPr>
            <w:tcW w:w="2560" w:type="dxa"/>
            <w:vAlign w:val="bottom"/>
            <w:gridSpan w:val="11"/>
          </w:tcPr>
          <w:p>
            <w:pPr>
              <w:spacing w:after="0"/>
              <w:rPr>
                <w:sz w:val="24"/>
                <w:szCs w:val="2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1240" w:type="dxa"/>
            <w:vAlign w:val="bottom"/>
            <w:gridSpan w:val="2"/>
          </w:tcPr>
          <w:p>
            <w:pPr>
              <w:jc w:val="center"/>
              <w:ind w:left="35"/>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jc w:val="center"/>
              <w:ind w:right="275"/>
              <w:spacing w:after="0"/>
              <w:rPr>
                <w:sz w:val="20"/>
                <w:szCs w:val="20"/>
                <w:color w:val="auto"/>
              </w:rPr>
            </w:pPr>
            <w:r>
              <w:rPr>
                <w:rFonts w:ascii="Times New Roman" w:cs="Times New Roman" w:eastAsia="Times New Roman" w:hAnsi="Times New Roman"/>
                <w:sz w:val="18"/>
                <w:szCs w:val="18"/>
                <w:color w:val="auto"/>
                <w:w w:val="99"/>
              </w:rPr>
              <w:t>3/5/26</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760" w:type="dxa"/>
            <w:vAlign w:val="bottom"/>
          </w:tcPr>
          <w:p>
            <w:pPr>
              <w:jc w:val="right"/>
              <w:ind w:right="354"/>
              <w:spacing w:after="0"/>
              <w:rPr>
                <w:sz w:val="20"/>
                <w:szCs w:val="20"/>
                <w:color w:val="auto"/>
              </w:rPr>
            </w:pPr>
            <w:r>
              <w:rPr>
                <w:rFonts w:ascii="Times New Roman" w:cs="Times New Roman" w:eastAsia="Times New Roman" w:hAnsi="Times New Roman"/>
                <w:sz w:val="18"/>
                <w:szCs w:val="18"/>
                <w:color w:val="auto"/>
              </w:rPr>
              <w:t>4.1</w:t>
            </w:r>
          </w:p>
        </w:tc>
        <w:tc>
          <w:tcPr>
            <w:tcW w:w="160" w:type="dxa"/>
            <w:vAlign w:val="bottom"/>
          </w:tcPr>
          <w:p>
            <w:pPr>
              <w:spacing w:after="0"/>
              <w:rPr>
                <w:sz w:val="24"/>
                <w:szCs w:val="24"/>
                <w:color w:val="auto"/>
              </w:rPr>
            </w:pPr>
          </w:p>
        </w:tc>
        <w:tc>
          <w:tcPr>
            <w:tcW w:w="3260" w:type="dxa"/>
            <w:vAlign w:val="bottom"/>
            <w:tcBorders>
              <w:bottom w:val="single" w:sz="8" w:color="0000FF"/>
            </w:tcBorders>
            <w:gridSpan w:val="9"/>
          </w:tcPr>
          <w:p>
            <w:pPr>
              <w:spacing w:after="0"/>
              <w:rPr>
                <w:rFonts w:ascii="Times New Roman" w:cs="Times New Roman" w:eastAsia="Times New Roman" w:hAnsi="Times New Roman"/>
                <w:sz w:val="18"/>
                <w:szCs w:val="18"/>
                <w:color w:val="0000FF"/>
                <w:w w:val="99"/>
              </w:rPr>
            </w:pPr>
            <w:hyperlink r:id="rId388">
              <w:r>
                <w:rPr>
                  <w:rFonts w:ascii="Times New Roman" w:cs="Times New Roman" w:eastAsia="Times New Roman" w:hAnsi="Times New Roman"/>
                  <w:sz w:val="18"/>
                  <w:szCs w:val="18"/>
                  <w:color w:val="0000FF"/>
                  <w:w w:val="99"/>
                </w:rPr>
                <w:t>Form of Pre-funded Warrant dated July 2026</w:t>
              </w:r>
            </w:hyperlink>
          </w:p>
        </w:tc>
        <w:tc>
          <w:tcPr>
            <w:tcW w:w="1940" w:type="dxa"/>
            <w:vAlign w:val="bottom"/>
            <w:gridSpan w:val="7"/>
          </w:tcPr>
          <w:p>
            <w:pPr>
              <w:spacing w:after="0"/>
              <w:rPr>
                <w:sz w:val="24"/>
                <w:szCs w:val="2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gridSpan w:val="2"/>
          </w:tcPr>
          <w:p>
            <w:pPr>
              <w:jc w:val="center"/>
              <w:ind w:left="35"/>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jc w:val="center"/>
              <w:ind w:right="295"/>
              <w:spacing w:after="0"/>
              <w:rPr>
                <w:sz w:val="20"/>
                <w:szCs w:val="20"/>
                <w:color w:val="auto"/>
              </w:rPr>
            </w:pPr>
            <w:r>
              <w:rPr>
                <w:rFonts w:ascii="Times New Roman" w:cs="Times New Roman" w:eastAsia="Times New Roman" w:hAnsi="Times New Roman"/>
                <w:sz w:val="18"/>
                <w:szCs w:val="18"/>
                <w:color w:val="auto"/>
              </w:rPr>
              <w:t>7/20/26</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60" w:type="dxa"/>
            <w:vAlign w:val="bottom"/>
          </w:tcPr>
          <w:p>
            <w:pPr>
              <w:spacing w:after="0"/>
              <w:rPr>
                <w:sz w:val="24"/>
                <w:szCs w:val="24"/>
                <w:color w:val="auto"/>
              </w:rPr>
            </w:pPr>
          </w:p>
        </w:tc>
        <w:tc>
          <w:tcPr>
            <w:tcW w:w="450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rPr>
              <w:t>Settlement Agreement dated September 23, 2026 between the</w:t>
            </w:r>
          </w:p>
        </w:tc>
        <w:tc>
          <w:tcPr>
            <w:tcW w:w="700" w:type="dxa"/>
            <w:vAlign w:val="bottom"/>
            <w:gridSpan w:val="5"/>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900" w:type="dxa"/>
            <w:vAlign w:val="bottom"/>
            <w:tcBorders>
              <w:bottom w:val="single" w:sz="8" w:color="0000FF"/>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Registrant, The Trustees of the University of Pennsylvania, Sarepta</w:t>
            </w:r>
          </w:p>
        </w:tc>
        <w:tc>
          <w:tcPr>
            <w:tcW w:w="300" w:type="dxa"/>
            <w:vAlign w:val="bottom"/>
            <w:gridSpan w:val="2"/>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Therapeutics, Inc. and affiliated entities, and Catalent, Inc.</w:t>
            </w: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5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60" w:type="dxa"/>
            <w:vAlign w:val="bottom"/>
          </w:tcPr>
          <w:p>
            <w:pPr>
              <w:jc w:val="right"/>
              <w:ind w:right="354"/>
              <w:spacing w:after="0"/>
              <w:rPr>
                <w:sz w:val="20"/>
                <w:szCs w:val="20"/>
                <w:color w:val="auto"/>
              </w:rPr>
            </w:pPr>
            <w:r>
              <w:rPr>
                <w:rFonts w:ascii="Times New Roman" w:cs="Times New Roman" w:eastAsia="Times New Roman" w:hAnsi="Times New Roman"/>
                <w:sz w:val="18"/>
                <w:szCs w:val="18"/>
                <w:color w:val="auto"/>
                <w:w w:val="95"/>
              </w:rPr>
              <w:t>31.1</w:t>
            </w:r>
          </w:p>
        </w:tc>
        <w:tc>
          <w:tcPr>
            <w:tcW w:w="160" w:type="dxa"/>
            <w:vAlign w:val="bottom"/>
          </w:tcPr>
          <w:p>
            <w:pPr>
              <w:spacing w:after="0"/>
              <w:rPr>
                <w:sz w:val="24"/>
                <w:szCs w:val="24"/>
                <w:color w:val="auto"/>
              </w:rPr>
            </w:pPr>
          </w:p>
        </w:tc>
        <w:tc>
          <w:tcPr>
            <w:tcW w:w="484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rPr>
              <w:t>Certification of the Chief Executive Officer as required by Section</w:t>
            </w:r>
          </w:p>
        </w:tc>
        <w:tc>
          <w:tcPr>
            <w:tcW w:w="360" w:type="dxa"/>
            <w:vAlign w:val="bottom"/>
            <w:gridSpan w:val="3"/>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40" w:type="dxa"/>
            <w:vAlign w:val="bottom"/>
            <w:tcBorders>
              <w:bottom w:val="single" w:sz="8" w:color="0000FF"/>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w w:val="99"/>
              </w:rPr>
              <w:t>302 of the Sarbanes-Oxley Act of 2002</w:t>
            </w:r>
          </w:p>
        </w:tc>
        <w:tc>
          <w:tcPr>
            <w:tcW w:w="20" w:type="dxa"/>
            <w:vAlign w:val="bottom"/>
            <w:tcBorders>
              <w:bottom w:val="single" w:sz="8" w:color="0000EE"/>
            </w:tcBorders>
          </w:tcPr>
          <w:p>
            <w:pPr>
              <w:spacing w:after="0"/>
              <w:rPr>
                <w:sz w:val="17"/>
                <w:szCs w:val="17"/>
                <w:color w:val="auto"/>
              </w:rPr>
            </w:pPr>
          </w:p>
        </w:tc>
        <w:tc>
          <w:tcPr>
            <w:tcW w:w="2340" w:type="dxa"/>
            <w:vAlign w:val="bottom"/>
            <w:gridSpan w:val="8"/>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760" w:type="dxa"/>
            <w:vAlign w:val="bottom"/>
          </w:tcPr>
          <w:p>
            <w:pPr>
              <w:jc w:val="right"/>
              <w:ind w:right="354"/>
              <w:spacing w:after="0"/>
              <w:rPr>
                <w:sz w:val="20"/>
                <w:szCs w:val="20"/>
                <w:color w:val="auto"/>
              </w:rPr>
            </w:pPr>
            <w:r>
              <w:rPr>
                <w:rFonts w:ascii="Times New Roman" w:cs="Times New Roman" w:eastAsia="Times New Roman" w:hAnsi="Times New Roman"/>
                <w:sz w:val="18"/>
                <w:szCs w:val="18"/>
                <w:color w:val="auto"/>
                <w:w w:val="95"/>
              </w:rPr>
              <w:t>31.2</w:t>
            </w:r>
          </w:p>
        </w:tc>
        <w:tc>
          <w:tcPr>
            <w:tcW w:w="160" w:type="dxa"/>
            <w:vAlign w:val="bottom"/>
          </w:tcPr>
          <w:p>
            <w:pPr>
              <w:spacing w:after="0"/>
              <w:rPr>
                <w:sz w:val="24"/>
                <w:szCs w:val="24"/>
                <w:color w:val="auto"/>
              </w:rPr>
            </w:pPr>
          </w:p>
        </w:tc>
        <w:tc>
          <w:tcPr>
            <w:tcW w:w="508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rPr>
              <w:t>Certification of the Chief Financial Officer as required by Section 302</w:t>
            </w: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52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9"/>
              </w:rPr>
              <w:t>of the Sarbanes-Oxley Act of 2002</w:t>
            </w:r>
          </w:p>
        </w:tc>
        <w:tc>
          <w:tcPr>
            <w:tcW w:w="20" w:type="dxa"/>
            <w:vAlign w:val="bottom"/>
            <w:tcBorders>
              <w:bottom w:val="single" w:sz="8" w:color="0000EE"/>
            </w:tcBorders>
          </w:tcPr>
          <w:p>
            <w:pPr>
              <w:spacing w:after="0"/>
              <w:rPr>
                <w:sz w:val="17"/>
                <w:szCs w:val="17"/>
                <w:color w:val="auto"/>
              </w:rPr>
            </w:pPr>
          </w:p>
        </w:tc>
        <w:tc>
          <w:tcPr>
            <w:tcW w:w="2660" w:type="dxa"/>
            <w:vAlign w:val="bottom"/>
            <w:gridSpan w:val="12"/>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760" w:type="dxa"/>
            <w:vAlign w:val="bottom"/>
          </w:tcPr>
          <w:p>
            <w:pPr>
              <w:jc w:val="right"/>
              <w:ind w:right="354"/>
              <w:spacing w:after="0"/>
              <w:rPr>
                <w:sz w:val="20"/>
                <w:szCs w:val="20"/>
                <w:color w:val="auto"/>
              </w:rPr>
            </w:pPr>
            <w:r>
              <w:rPr>
                <w:rFonts w:ascii="Times New Roman" w:cs="Times New Roman" w:eastAsia="Times New Roman" w:hAnsi="Times New Roman"/>
                <w:sz w:val="18"/>
                <w:szCs w:val="18"/>
                <w:color w:val="auto"/>
                <w:w w:val="95"/>
              </w:rPr>
              <w:t>32.1</w:t>
            </w:r>
          </w:p>
        </w:tc>
        <w:tc>
          <w:tcPr>
            <w:tcW w:w="160" w:type="dxa"/>
            <w:vAlign w:val="bottom"/>
          </w:tcPr>
          <w:p>
            <w:pPr>
              <w:spacing w:after="0"/>
              <w:rPr>
                <w:sz w:val="24"/>
                <w:szCs w:val="24"/>
                <w:color w:val="auto"/>
              </w:rPr>
            </w:pPr>
          </w:p>
        </w:tc>
        <w:tc>
          <w:tcPr>
            <w:tcW w:w="472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Certifications of the Chief Executive Officer and Chief Financial</w:t>
            </w:r>
          </w:p>
        </w:tc>
        <w:tc>
          <w:tcPr>
            <w:tcW w:w="480" w:type="dxa"/>
            <w:vAlign w:val="bottom"/>
            <w:gridSpan w:val="4"/>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Officer as required by 18 U.S.C. 1350</w:t>
            </w: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760" w:type="dxa"/>
            <w:vAlign w:val="bottom"/>
            <w:tcBorders>
              <w:right w:val="single" w:sz="8" w:color="0000EE"/>
            </w:tcBorders>
            <w:gridSpan w:val="6"/>
            <w:shd w:val="clear" w:color="auto" w:fill="0000FF"/>
          </w:tcPr>
          <w:p>
            <w:pPr>
              <w:spacing w:after="0" w:line="20" w:lineRule="exact"/>
              <w:rPr>
                <w:sz w:val="1"/>
                <w:szCs w:val="1"/>
                <w:color w:val="auto"/>
              </w:rPr>
            </w:pPr>
          </w:p>
        </w:tc>
        <w:tc>
          <w:tcPr>
            <w:tcW w:w="2440" w:type="dxa"/>
            <w:vAlign w:val="bottom"/>
            <w:gridSpan w:val="1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60" w:type="dxa"/>
            <w:vAlign w:val="bottom"/>
          </w:tcPr>
          <w:p>
            <w:pPr>
              <w:spacing w:after="0"/>
              <w:rPr>
                <w:sz w:val="24"/>
                <w:szCs w:val="24"/>
                <w:color w:val="auto"/>
              </w:rPr>
            </w:pPr>
          </w:p>
        </w:tc>
        <w:tc>
          <w:tcPr>
            <w:tcW w:w="520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The following materials from the Company’s Quarterly Report on</w:t>
            </w: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Form 10-Q for the fiscal quarter ended September 30, 2026 formatted</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 Inline XBRL (eXtensible Business Reporting Language):</w:t>
            </w: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1140" w:hanging="214"/>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Balance Sheets</w:t>
      </w:r>
    </w:p>
    <w:p>
      <w:pPr>
        <w:spacing w:after="0" w:line="9" w:lineRule="exact"/>
        <w:rPr>
          <w:rFonts w:ascii="Times New Roman" w:cs="Times New Roman" w:eastAsia="Times New Roman" w:hAnsi="Times New Roman"/>
          <w:sz w:val="18"/>
          <w:szCs w:val="18"/>
          <w:color w:val="auto"/>
        </w:rPr>
      </w:pPr>
    </w:p>
    <w:p>
      <w:pPr>
        <w:ind w:left="1200" w:hanging="274"/>
        <w:spacing w:after="0"/>
        <w:tabs>
          <w:tab w:leader="none" w:pos="12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Operations and Comprehensive Loss</w:t>
      </w:r>
    </w:p>
    <w:p>
      <w:pPr>
        <w:spacing w:after="0" w:line="9" w:lineRule="exact"/>
        <w:rPr>
          <w:rFonts w:ascii="Times New Roman" w:cs="Times New Roman" w:eastAsia="Times New Roman" w:hAnsi="Times New Roman"/>
          <w:sz w:val="18"/>
          <w:szCs w:val="18"/>
          <w:color w:val="auto"/>
        </w:rPr>
      </w:pPr>
    </w:p>
    <w:p>
      <w:pPr>
        <w:ind w:left="1240" w:hanging="314"/>
        <w:spacing w:after="0"/>
        <w:tabs>
          <w:tab w:leader="none" w:pos="12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Stockholders’ Equity</w:t>
      </w:r>
    </w:p>
    <w:p>
      <w:pPr>
        <w:spacing w:after="0" w:line="9" w:lineRule="exact"/>
        <w:rPr>
          <w:rFonts w:ascii="Times New Roman" w:cs="Times New Roman" w:eastAsia="Times New Roman" w:hAnsi="Times New Roman"/>
          <w:sz w:val="18"/>
          <w:szCs w:val="18"/>
          <w:color w:val="auto"/>
        </w:rPr>
      </w:pPr>
    </w:p>
    <w:p>
      <w:pPr>
        <w:ind w:left="1240" w:hanging="314"/>
        <w:spacing w:after="0"/>
        <w:tabs>
          <w:tab w:leader="none" w:pos="12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Cash Flows</w:t>
      </w:r>
    </w:p>
    <w:p>
      <w:pPr>
        <w:spacing w:after="0" w:line="9" w:lineRule="exact"/>
        <w:rPr>
          <w:rFonts w:ascii="Times New Roman" w:cs="Times New Roman" w:eastAsia="Times New Roman" w:hAnsi="Times New Roman"/>
          <w:sz w:val="18"/>
          <w:szCs w:val="18"/>
          <w:color w:val="auto"/>
        </w:rPr>
      </w:pPr>
    </w:p>
    <w:p>
      <w:pPr>
        <w:ind w:left="1180" w:hanging="254"/>
        <w:spacing w:after="0"/>
        <w:tabs>
          <w:tab w:leader="none" w:pos="11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to Consolidated Financial Statements</w:t>
      </w:r>
    </w:p>
    <w:p>
      <w:pPr>
        <w:spacing w:after="0" w:line="112" w:lineRule="exact"/>
        <w:rPr>
          <w:sz w:val="20"/>
          <w:szCs w:val="20"/>
          <w:color w:val="auto"/>
        </w:rPr>
      </w:pPr>
    </w:p>
    <w:p>
      <w:pPr>
        <w:ind w:left="920" w:right="5320" w:hanging="912"/>
        <w:spacing w:after="0" w:line="266" w:lineRule="auto"/>
        <w:tabs>
          <w:tab w:leader="none" w:pos="9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the Company’s Quarterly Report on Form 10-Q for the fiscal quarter ended September 30, 2026 formatted in Inline XBRL (included in Exhibit 101)</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Portions of this exhibit have been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95123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9">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46"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The certification attached as Exhibit 32.1 that accompanies this Quarterly Report on Form 10-Q is not deemed filed with the SEC and is not to be incorporated by reference into any filing of REGENXBIO Inc. under the Securities Act or the Exchange Act, whether made before or after the date of this Quarterly Report on Form 10-Q, irrespective of any general incorporation language contained in such filing.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91">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REGENXBIO Inc.</w:t>
            </w:r>
          </w:p>
        </w:tc>
      </w:tr>
      <w:tr>
        <w:trPr>
          <w:trHeight w:val="459"/>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Dated: November 5, 2026</w:t>
            </w:r>
          </w:p>
        </w:tc>
        <w:tc>
          <w:tcPr>
            <w:tcW w:w="2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Curran Simpson</w:t>
            </w:r>
          </w:p>
        </w:tc>
      </w:tr>
      <w:tr>
        <w:trPr>
          <w:trHeight w:val="191"/>
        </w:trPr>
        <w:tc>
          <w:tcPr>
            <w:tcW w:w="370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Curran Simpson</w:t>
            </w:r>
          </w:p>
        </w:tc>
      </w:tr>
      <w:tr>
        <w:trPr>
          <w:trHeight w:val="216"/>
        </w:trPr>
        <w:tc>
          <w:tcPr>
            <w:tcW w:w="37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37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2"/>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Dated: November 5, 2026</w:t>
            </w:r>
          </w:p>
        </w:tc>
        <w:tc>
          <w:tcPr>
            <w:tcW w:w="2000" w:type="dxa"/>
            <w:vAlign w:val="bottom"/>
          </w:tcPr>
          <w:p>
            <w:pPr>
              <w:spacing w:after="0"/>
              <w:rPr>
                <w:sz w:val="24"/>
                <w:szCs w:val="24"/>
                <w:color w:val="auto"/>
              </w:rPr>
            </w:pPr>
          </w:p>
        </w:tc>
        <w:tc>
          <w:tcPr>
            <w:tcW w:w="55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Mitchell Chan</w:t>
            </w:r>
          </w:p>
        </w:tc>
      </w:tr>
      <w:tr>
        <w:trPr>
          <w:trHeight w:val="191"/>
        </w:trPr>
        <w:tc>
          <w:tcPr>
            <w:tcW w:w="370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554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Mitchell Chan</w:t>
            </w:r>
          </w:p>
        </w:tc>
      </w:tr>
      <w:tr>
        <w:trPr>
          <w:trHeight w:val="216"/>
        </w:trPr>
        <w:tc>
          <w:tcPr>
            <w:tcW w:w="37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7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r>
      <w:tr>
        <w:trPr>
          <w:trHeight w:val="648"/>
        </w:trPr>
        <w:tc>
          <w:tcPr>
            <w:tcW w:w="3700" w:type="dxa"/>
            <w:vAlign w:val="bottom"/>
          </w:tcPr>
          <w:p>
            <w:pPr>
              <w:spacing w:after="0"/>
              <w:rPr>
                <w:sz w:val="24"/>
                <w:szCs w:val="24"/>
                <w:color w:val="auto"/>
              </w:rPr>
            </w:pP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5520" w:type="dxa"/>
            <w:vAlign w:val="bottom"/>
          </w:tcPr>
          <w:p>
            <w:pPr>
              <w:spacing w:after="0"/>
              <w:rPr>
                <w:sz w:val="24"/>
                <w:szCs w:val="24"/>
                <w:color w:val="auto"/>
              </w:rPr>
            </w:pPr>
          </w:p>
        </w:tc>
      </w:tr>
      <w:tr>
        <w:trPr>
          <w:trHeight w:val="763"/>
        </w:trPr>
        <w:tc>
          <w:tcPr>
            <w:tcW w:w="370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9" w:name="page50"/>
    <w:bookmarkEnd w:id="49"/>
    <w:p>
      <w:pPr>
        <w:ind w:left="9820"/>
        <w:spacing w:after="0"/>
        <w:rPr>
          <w:sz w:val="20"/>
          <w:szCs w:val="20"/>
          <w:color w:val="auto"/>
        </w:rPr>
      </w:pPr>
      <w:r>
        <w:rPr>
          <w:rFonts w:ascii="Times New Roman" w:cs="Times New Roman" w:eastAsia="Times New Roman" w:hAnsi="Times New Roman"/>
          <w:sz w:val="17"/>
          <w:szCs w:val="17"/>
          <w:b w:val="1"/>
          <w:bCs w:val="1"/>
          <w:color w:val="auto"/>
        </w:rPr>
        <w:t>EXHIBIT 10.1</w:t>
      </w:r>
    </w:p>
    <w:p>
      <w:pPr>
        <w:spacing w:after="0" w:line="246" w:lineRule="exact"/>
        <w:rPr>
          <w:sz w:val="20"/>
          <w:szCs w:val="20"/>
          <w:color w:val="auto"/>
        </w:rPr>
      </w:pPr>
    </w:p>
    <w:p>
      <w:pPr>
        <w:ind w:left="180" w:right="360" w:hanging="177"/>
        <w:spacing w:after="0" w:line="300" w:lineRule="auto"/>
        <w:rPr>
          <w:sz w:val="20"/>
          <w:szCs w:val="20"/>
          <w:color w:val="auto"/>
        </w:rPr>
      </w:pPr>
      <w:r>
        <w:rPr>
          <w:rFonts w:ascii="Times New Roman" w:cs="Times New Roman" w:eastAsia="Times New Roman" w:hAnsi="Times New Roman"/>
          <w:sz w:val="19"/>
          <w:szCs w:val="19"/>
          <w:b w:val="1"/>
          <w:bCs w:val="1"/>
          <w:color w:val="auto"/>
        </w:rPr>
        <w:t>Certain identified information has been excluded from this exhibit because such information both (i) is not material and (ii) is customarily and actually treated as private or confidential. Excluded information is indicated with brackets and asterisks.</w:t>
      </w:r>
    </w:p>
    <w:p>
      <w:pPr>
        <w:spacing w:after="0" w:line="151"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22"/>
          <w:szCs w:val="22"/>
          <w:b w:val="1"/>
          <w:bCs w:val="1"/>
          <w:u w:val="single" w:color="auto"/>
          <w:color w:val="auto"/>
        </w:rPr>
        <w:t>SETTLEMENT AGREEMENT</w:t>
      </w:r>
    </w:p>
    <w:p>
      <w:pPr>
        <w:spacing w:after="0" w:line="237" w:lineRule="exact"/>
        <w:rPr>
          <w:sz w:val="20"/>
          <w:szCs w:val="20"/>
          <w:color w:val="auto"/>
        </w:rPr>
      </w:pPr>
    </w:p>
    <w:p>
      <w:pPr>
        <w:jc w:val="both"/>
        <w:ind w:left="80" w:right="360" w:firstLine="749"/>
        <w:spacing w:after="0" w:line="236" w:lineRule="auto"/>
        <w:rPr>
          <w:sz w:val="20"/>
          <w:szCs w:val="20"/>
          <w:color w:val="auto"/>
        </w:rPr>
      </w:pPr>
      <w:r>
        <w:rPr>
          <w:rFonts w:ascii="Times New Roman" w:cs="Times New Roman" w:eastAsia="Times New Roman" w:hAnsi="Times New Roman"/>
          <w:sz w:val="22"/>
          <w:szCs w:val="22"/>
          <w:color w:val="auto"/>
        </w:rPr>
        <w:t>This Settlement Agreement (“Agreement”) is entered into as of September 23, 2026 (“Effective Date”), by and among REGENXBIO Inc. (“REGENXBIO”) and The Trustees of the University of Pennsylvania (“UPenn”) (together with REGENXBIO, “Plaintiffs”), on the one hand, and Sarepta Therapeutics, Inc. (“Sarepta Therapeutics”), Sarepta Therapeutics Three, LLC (“Sarepta Three”) (together with Sarepta Therapeutics, “Sarepta”) and Catalent, Inc. (“Catalent”) (together with Sarepta, “Defendants”), on the other hand. Defendants and Plaintiffs are each referred to herein individually as a “Party” and collectively as the “Parties.”</w:t>
      </w:r>
    </w:p>
    <w:p>
      <w:pPr>
        <w:spacing w:after="0" w:line="204"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237" w:lineRule="exact"/>
        <w:rPr>
          <w:sz w:val="20"/>
          <w:szCs w:val="20"/>
          <w:color w:val="auto"/>
        </w:rPr>
      </w:pPr>
    </w:p>
    <w:p>
      <w:pPr>
        <w:jc w:val="both"/>
        <w:ind w:left="80" w:right="360" w:firstLine="749"/>
        <w:spacing w:after="0" w:line="244" w:lineRule="auto"/>
        <w:rPr>
          <w:sz w:val="20"/>
          <w:szCs w:val="20"/>
          <w:color w:val="auto"/>
        </w:rPr>
      </w:pPr>
      <w:r>
        <w:rPr>
          <w:rFonts w:ascii="Times New Roman" w:cs="Times New Roman" w:eastAsia="Times New Roman" w:hAnsi="Times New Roman"/>
          <w:sz w:val="22"/>
          <w:szCs w:val="22"/>
          <w:color w:val="auto"/>
        </w:rPr>
        <w:t xml:space="preserve">WHEREAS, REGENXBIO and UPenn commenced an action against Sarepta, alleging infringement of U.S. Patent No. 10,526,617 (“the ‘617 Patent”), captioned </w:t>
      </w:r>
      <w:r>
        <w:rPr>
          <w:rFonts w:ascii="Times New Roman" w:cs="Times New Roman" w:eastAsia="Times New Roman" w:hAnsi="Times New Roman"/>
          <w:sz w:val="22"/>
          <w:szCs w:val="22"/>
          <w:i w:val="1"/>
          <w:iCs w:val="1"/>
          <w:color w:val="auto"/>
        </w:rPr>
        <w:t>REGENXBIO Inc. et al. v. Sarepta Therapeutics, Inc. et al.</w:t>
      </w:r>
      <w:r>
        <w:rPr>
          <w:rFonts w:ascii="Times New Roman" w:cs="Times New Roman" w:eastAsia="Times New Roman" w:hAnsi="Times New Roman"/>
          <w:sz w:val="22"/>
          <w:szCs w:val="22"/>
          <w:color w:val="auto"/>
        </w:rPr>
        <w:t>, C.A. No. 20-cv-01226-RGA (“the ‘617 Proceeding”);</w:t>
      </w:r>
    </w:p>
    <w:p>
      <w:pPr>
        <w:spacing w:after="0" w:line="200" w:lineRule="exact"/>
        <w:rPr>
          <w:sz w:val="20"/>
          <w:szCs w:val="20"/>
          <w:color w:val="auto"/>
        </w:rPr>
      </w:pPr>
    </w:p>
    <w:p>
      <w:pPr>
        <w:jc w:val="both"/>
        <w:ind w:left="80" w:right="360" w:firstLine="749"/>
        <w:spacing w:after="0" w:line="239" w:lineRule="auto"/>
        <w:rPr>
          <w:sz w:val="20"/>
          <w:szCs w:val="20"/>
          <w:color w:val="auto"/>
        </w:rPr>
      </w:pPr>
      <w:r>
        <w:rPr>
          <w:rFonts w:ascii="Times New Roman" w:cs="Times New Roman" w:eastAsia="Times New Roman" w:hAnsi="Times New Roman"/>
          <w:sz w:val="22"/>
          <w:szCs w:val="22"/>
          <w:color w:val="auto"/>
        </w:rPr>
        <w:t xml:space="preserve">WHEREAS, REGENXBIO and UPenn commenced an action against Sarepta and Catalent, alleging infringement of U.S. Patent No. 11,680,274 (“the ‘274 Patent”) (together with the ‘617 patent, “the Patents-in-Suit”), captioned </w:t>
      </w:r>
      <w:r>
        <w:rPr>
          <w:rFonts w:ascii="Times New Roman" w:cs="Times New Roman" w:eastAsia="Times New Roman" w:hAnsi="Times New Roman"/>
          <w:sz w:val="22"/>
          <w:szCs w:val="22"/>
          <w:i w:val="1"/>
          <w:iCs w:val="1"/>
          <w:color w:val="auto"/>
        </w:rPr>
        <w:t>REGENXBIO Inc. et al. v. Sarepta Therapeutics, Inc. et al.</w:t>
      </w:r>
      <w:r>
        <w:rPr>
          <w:rFonts w:ascii="Times New Roman" w:cs="Times New Roman" w:eastAsia="Times New Roman" w:hAnsi="Times New Roman"/>
          <w:sz w:val="22"/>
          <w:szCs w:val="22"/>
          <w:color w:val="auto"/>
        </w:rPr>
        <w:t>, C.A. No. 23-cv-00667-RGA (“the ‘274 Proceeding”);</w:t>
      </w:r>
    </w:p>
    <w:p>
      <w:pPr>
        <w:spacing w:after="0" w:line="203" w:lineRule="exact"/>
        <w:rPr>
          <w:sz w:val="20"/>
          <w:szCs w:val="20"/>
          <w:color w:val="auto"/>
        </w:rPr>
      </w:pPr>
    </w:p>
    <w:p>
      <w:pPr>
        <w:jc w:val="both"/>
        <w:ind w:left="80" w:right="360" w:firstLine="749"/>
        <w:spacing w:after="0" w:line="238" w:lineRule="auto"/>
        <w:rPr>
          <w:sz w:val="20"/>
          <w:szCs w:val="20"/>
          <w:color w:val="auto"/>
        </w:rPr>
      </w:pPr>
      <w:r>
        <w:rPr>
          <w:rFonts w:ascii="Times New Roman" w:cs="Times New Roman" w:eastAsia="Times New Roman" w:hAnsi="Times New Roman"/>
          <w:sz w:val="22"/>
          <w:szCs w:val="22"/>
          <w:color w:val="auto"/>
        </w:rPr>
        <w:t xml:space="preserve">WHEREAS, Sarepta filed a Petition for </w:t>
      </w:r>
      <w:r>
        <w:rPr>
          <w:rFonts w:ascii="Times New Roman" w:cs="Times New Roman" w:eastAsia="Times New Roman" w:hAnsi="Times New Roman"/>
          <w:sz w:val="22"/>
          <w:szCs w:val="22"/>
          <w:i w:val="1"/>
          <w:iCs w:val="1"/>
          <w:color w:val="auto"/>
        </w:rPr>
        <w:t>Inter Partes</w:t>
      </w:r>
      <w:r>
        <w:rPr>
          <w:rFonts w:ascii="Times New Roman" w:cs="Times New Roman" w:eastAsia="Times New Roman" w:hAnsi="Times New Roman"/>
          <w:sz w:val="22"/>
          <w:szCs w:val="22"/>
          <w:color w:val="auto"/>
        </w:rPr>
        <w:t xml:space="preserve"> Review of the ‘274 Patent with the Patent Trial and Appeal Board (“the PTAB”) (“IPR Proceeding”) and subsequently appealed from the PTAB’s decision to the U.S. Court of Appeals for the Federal Circuit in a matter captioned </w:t>
      </w:r>
      <w:r>
        <w:rPr>
          <w:rFonts w:ascii="Times New Roman" w:cs="Times New Roman" w:eastAsia="Times New Roman" w:hAnsi="Times New Roman"/>
          <w:sz w:val="22"/>
          <w:szCs w:val="22"/>
          <w:i w:val="1"/>
          <w:iCs w:val="1"/>
          <w:color w:val="auto"/>
        </w:rPr>
        <w:t>Sarepta Therapeutics, Inc. v. Trustees of the University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Pennsylvania, REGENXBIO Inc.</w:t>
      </w:r>
      <w:r>
        <w:rPr>
          <w:rFonts w:ascii="Times New Roman" w:cs="Times New Roman" w:eastAsia="Times New Roman" w:hAnsi="Times New Roman"/>
          <w:sz w:val="22"/>
          <w:szCs w:val="22"/>
          <w:color w:val="auto"/>
        </w:rPr>
        <w:t>, 2026-1071 (“Appeal Proceeding”) (the IPR Proceeding and the Appeal Proceeding,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together with the ‘617 Proceeding and the ‘274 Proceeding, “the Litigations”);</w:t>
      </w:r>
    </w:p>
    <w:p>
      <w:pPr>
        <w:spacing w:after="0" w:line="22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WHEREAS, the Parties have agreed to resolve the Litigations on the terms set forth in this Agreement;</w:t>
      </w:r>
    </w:p>
    <w:p>
      <w:pPr>
        <w:spacing w:after="0" w:line="233" w:lineRule="exact"/>
        <w:rPr>
          <w:sz w:val="20"/>
          <w:szCs w:val="20"/>
          <w:color w:val="auto"/>
        </w:rPr>
      </w:pPr>
    </w:p>
    <w:p>
      <w:pPr>
        <w:jc w:val="both"/>
        <w:ind w:left="80" w:right="360" w:firstLine="749"/>
        <w:spacing w:after="0" w:line="258" w:lineRule="auto"/>
        <w:rPr>
          <w:sz w:val="20"/>
          <w:szCs w:val="20"/>
          <w:color w:val="auto"/>
        </w:rPr>
      </w:pPr>
      <w:r>
        <w:rPr>
          <w:rFonts w:ascii="Times New Roman" w:cs="Times New Roman" w:eastAsia="Times New Roman" w:hAnsi="Times New Roman"/>
          <w:sz w:val="22"/>
          <w:szCs w:val="22"/>
          <w:color w:val="auto"/>
        </w:rPr>
        <w:t>WHEREAS, the Parties wish to avoid the cost, distraction, and uncertainty of continued litigation and desire to fully and finally resolve their disputes on the terms set forth herein;</w:t>
      </w:r>
    </w:p>
    <w:p>
      <w:pPr>
        <w:spacing w:after="0" w:line="185" w:lineRule="exact"/>
        <w:rPr>
          <w:sz w:val="20"/>
          <w:szCs w:val="20"/>
          <w:color w:val="auto"/>
        </w:rPr>
      </w:pPr>
    </w:p>
    <w:p>
      <w:pPr>
        <w:jc w:val="both"/>
        <w:ind w:left="80" w:right="380" w:firstLine="749"/>
        <w:spacing w:after="0" w:line="244" w:lineRule="auto"/>
        <w:rPr>
          <w:sz w:val="20"/>
          <w:szCs w:val="20"/>
          <w:color w:val="auto"/>
        </w:rPr>
      </w:pPr>
      <w:r>
        <w:rPr>
          <w:rFonts w:ascii="Times New Roman" w:cs="Times New Roman" w:eastAsia="Times New Roman" w:hAnsi="Times New Roman"/>
          <w:sz w:val="22"/>
          <w:szCs w:val="22"/>
          <w:color w:val="auto"/>
        </w:rPr>
        <w:t>NOW, THEREFORE, in consideration of the mutual covenants and agreements set forth herein, and for other good and valuable consideration, the receipt and sufficiency of which are hereby acknowledged, the Parties agree as follows:</w:t>
      </w:r>
    </w:p>
    <w:p>
      <w:pPr>
        <w:spacing w:after="0" w:line="196" w:lineRule="exact"/>
        <w:rPr>
          <w:sz w:val="20"/>
          <w:szCs w:val="20"/>
          <w:color w:val="auto"/>
        </w:rPr>
      </w:pPr>
    </w:p>
    <w:p>
      <w:pPr>
        <w:jc w:val="both"/>
        <w:ind w:left="800" w:right="360" w:hanging="718"/>
        <w:spacing w:after="0" w:line="246" w:lineRule="auto"/>
        <w:tabs>
          <w:tab w:leader="none" w:pos="800" w:val="left"/>
        </w:tabs>
        <w:numPr>
          <w:ilvl w:val="0"/>
          <w:numId w:val="1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Payment. </w:t>
      </w:r>
      <w:r>
        <w:rPr>
          <w:rFonts w:ascii="Times New Roman" w:cs="Times New Roman" w:eastAsia="Times New Roman" w:hAnsi="Times New Roman"/>
          <w:sz w:val="22"/>
          <w:szCs w:val="22"/>
          <w:color w:val="auto"/>
        </w:rPr>
        <w:t>Within ten (10) days of the Effective Date and receipt of invoice, Sarepta shall pay REGENXBIO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total sum of Thirty-Nine Million Dollars ($39,000,000) (“the Settlement Payment”), by wire transfer of immediately available funds pursuant to the wire instructions set forth below:</w:t>
      </w:r>
    </w:p>
    <w:p>
      <w:pPr>
        <w:spacing w:after="0" w:line="198"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22"/>
          <w:szCs w:val="22"/>
          <w:color w:val="auto"/>
        </w:rPr>
        <w:t>[****]</w:t>
      </w:r>
    </w:p>
    <w:p>
      <w:pPr>
        <w:spacing w:after="0" w:line="4"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22"/>
          <w:szCs w:val="22"/>
          <w:color w:val="auto"/>
        </w:rPr>
        <w:t>[****]</w:t>
      </w:r>
    </w:p>
    <w:p>
      <w:pPr>
        <w:ind w:left="2320"/>
        <w:spacing w:after="0"/>
        <w:rPr>
          <w:sz w:val="20"/>
          <w:szCs w:val="20"/>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763270</wp:posOffset>
            </wp:positionV>
            <wp:extent cx="715772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620" w:top="252" w:right="339" w:bottom="1440" w:gutter="0" w:footer="0" w:header="0"/>
        </w:sectPr>
      </w:pPr>
    </w:p>
    <w:bookmarkStart w:id="50" w:name="page51"/>
    <w:bookmarkEnd w:id="50"/>
    <w:p>
      <w:pPr>
        <w:spacing w:after="0" w:line="185"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2"/>
          <w:szCs w:val="22"/>
          <w:color w:val="auto"/>
        </w:rPr>
        <w:t>[****]</w:t>
      </w:r>
    </w:p>
    <w:p>
      <w:pPr>
        <w:spacing w:after="0" w:line="4"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2"/>
          <w:szCs w:val="22"/>
          <w:color w:val="auto"/>
        </w:rPr>
        <w:t>[****]</w:t>
      </w:r>
    </w:p>
    <w:p>
      <w:pPr>
        <w:ind w:left="2240"/>
        <w:spacing w:after="0" w:line="230" w:lineRule="auto"/>
        <w:rPr>
          <w:sz w:val="20"/>
          <w:szCs w:val="20"/>
          <w:color w:val="auto"/>
        </w:rPr>
      </w:pPr>
      <w:r>
        <w:rPr>
          <w:rFonts w:ascii="Times New Roman" w:cs="Times New Roman" w:eastAsia="Times New Roman" w:hAnsi="Times New Roman"/>
          <w:sz w:val="22"/>
          <w:szCs w:val="22"/>
          <w:color w:val="auto"/>
        </w:rPr>
        <w:t>[****]</w:t>
      </w:r>
    </w:p>
    <w:p>
      <w:pPr>
        <w:ind w:left="2240"/>
        <w:spacing w:after="0" w:line="231" w:lineRule="auto"/>
        <w:rPr>
          <w:sz w:val="20"/>
          <w:szCs w:val="20"/>
          <w:color w:val="auto"/>
        </w:rPr>
      </w:pPr>
      <w:r>
        <w:rPr>
          <w:rFonts w:ascii="Times New Roman" w:cs="Times New Roman" w:eastAsia="Times New Roman" w:hAnsi="Times New Roman"/>
          <w:sz w:val="22"/>
          <w:szCs w:val="22"/>
          <w:color w:val="auto"/>
        </w:rPr>
        <w:t>[****]</w:t>
      </w:r>
    </w:p>
    <w:p>
      <w:pPr>
        <w:ind w:left="2240"/>
        <w:spacing w:after="0"/>
        <w:rPr>
          <w:sz w:val="20"/>
          <w:szCs w:val="20"/>
          <w:color w:val="auto"/>
        </w:rPr>
      </w:pPr>
      <w:r>
        <w:rPr>
          <w:rFonts w:ascii="Times New Roman" w:cs="Times New Roman" w:eastAsia="Times New Roman" w:hAnsi="Times New Roman"/>
          <w:sz w:val="22"/>
          <w:szCs w:val="22"/>
          <w:color w:val="auto"/>
        </w:rPr>
        <w:t>[****]</w:t>
      </w:r>
    </w:p>
    <w:p>
      <w:pPr>
        <w:spacing w:after="0" w:line="20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REGENXBIO shall email the invoice for the Settlement Payment and a completed W-9 form to [****].</w:t>
      </w:r>
    </w:p>
    <w:p>
      <w:pPr>
        <w:spacing w:after="0" w:line="243" w:lineRule="exact"/>
        <w:rPr>
          <w:sz w:val="20"/>
          <w:szCs w:val="20"/>
          <w:color w:val="auto"/>
        </w:rPr>
      </w:pPr>
    </w:p>
    <w:p>
      <w:pPr>
        <w:jc w:val="both"/>
        <w:ind w:left="720" w:right="20" w:hanging="718"/>
        <w:spacing w:after="0" w:line="238" w:lineRule="auto"/>
        <w:tabs>
          <w:tab w:leader="none" w:pos="720" w:val="left"/>
        </w:tabs>
        <w:numPr>
          <w:ilvl w:val="0"/>
          <w:numId w:val="1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Dismissal of Litigations. </w:t>
      </w:r>
      <w:r>
        <w:rPr>
          <w:rFonts w:ascii="Times New Roman" w:cs="Times New Roman" w:eastAsia="Times New Roman" w:hAnsi="Times New Roman"/>
          <w:sz w:val="22"/>
          <w:szCs w:val="22"/>
          <w:color w:val="auto"/>
        </w:rPr>
        <w:t>Within 3 business days of Sarepta’s payment of the Settlement Payment, the Parties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cause to be filed such motions, notices, or stipulations to terminate, withdraw, or otherwise dispose of the Litigations with prejudice, substantially in the form of the stipulations attached hereto as Exhibits A-C. Except as otherwise provided in this Agreement, each Party shall bear its own costs, expenses, and attorneys’ fees incurred in connection with the Litigations and the negotiation and execution of this Agreement.</w:t>
      </w:r>
    </w:p>
    <w:p>
      <w:pPr>
        <w:spacing w:after="0" w:line="203" w:lineRule="exact"/>
        <w:rPr>
          <w:rFonts w:ascii="Times New Roman" w:cs="Times New Roman" w:eastAsia="Times New Roman" w:hAnsi="Times New Roman"/>
          <w:sz w:val="22"/>
          <w:szCs w:val="22"/>
          <w:b w:val="1"/>
          <w:bCs w:val="1"/>
          <w:color w:val="auto"/>
        </w:rPr>
      </w:pPr>
    </w:p>
    <w:p>
      <w:pPr>
        <w:ind w:left="760" w:hanging="758"/>
        <w:spacing w:after="0"/>
        <w:tabs>
          <w:tab w:leader="none" w:pos="760" w:val="left"/>
        </w:tabs>
        <w:numPr>
          <w:ilvl w:val="0"/>
          <w:numId w:val="1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Release.</w:t>
      </w:r>
    </w:p>
    <w:p>
      <w:pPr>
        <w:spacing w:after="0" w:line="237" w:lineRule="exact"/>
        <w:rPr>
          <w:rFonts w:ascii="Times New Roman" w:cs="Times New Roman" w:eastAsia="Times New Roman" w:hAnsi="Times New Roman"/>
          <w:sz w:val="22"/>
          <w:szCs w:val="22"/>
          <w:b w:val="1"/>
          <w:bCs w:val="1"/>
          <w:color w:val="auto"/>
        </w:rPr>
      </w:pPr>
    </w:p>
    <w:p>
      <w:pPr>
        <w:jc w:val="both"/>
        <w:ind w:left="760" w:right="20"/>
        <w:spacing w:after="0" w:line="234"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xml:space="preserve">3.1 </w:t>
      </w:r>
      <w:r>
        <w:rPr>
          <w:rFonts w:ascii="Times New Roman" w:cs="Times New Roman" w:eastAsia="Times New Roman" w:hAnsi="Times New Roman"/>
          <w:sz w:val="22"/>
          <w:szCs w:val="22"/>
          <w:u w:val="single" w:color="auto"/>
          <w:color w:val="auto"/>
        </w:rPr>
        <w:t>Release With Prejudice.</w:t>
      </w:r>
      <w:r>
        <w:rPr>
          <w:rFonts w:ascii="Times New Roman" w:cs="Times New Roman" w:eastAsia="Times New Roman" w:hAnsi="Times New Roman"/>
          <w:sz w:val="22"/>
          <w:szCs w:val="22"/>
          <w:color w:val="auto"/>
        </w:rPr>
        <w:t xml:space="preserve"> Plaintiffs, on behalf of themselves and their current affiliates, will release and forever discharge Defendants and their current affiliates from any and all claims, causes of action, and liabilities of any kind relating to any Sarepta gene therapy product that uses an AAVrh74-based capsid, including ELEVIDYS®, whether known or unknown, of any nature whatsoever, that are claims of infringement of the Patents-in-Suit; U.S. Patent No. 9,198,984 (“the ‘984 Patent”); and/or any patents or patent applications that claim priority to the Patents-in-Suit or the ‘984 Patent, or from which the Patents-in-Suit or the ‘984 Patent claims priority, including any continuation, divisional, continuation-in-part, reissue, or foreign counterpart of any of the foregoing (collectively, “the UPENN Patents”), arising at any time up to and including the Effective Date of this Agreement. Except as expressly stated in this Agreement, no authorization, authorized sale, or express or implied license or future release is granted by the Plaintiffs.</w:t>
      </w:r>
    </w:p>
    <w:p>
      <w:pPr>
        <w:spacing w:after="0" w:line="206" w:lineRule="exact"/>
        <w:rPr>
          <w:rFonts w:ascii="Times New Roman" w:cs="Times New Roman" w:eastAsia="Times New Roman" w:hAnsi="Times New Roman"/>
          <w:sz w:val="22"/>
          <w:szCs w:val="22"/>
          <w:b w:val="1"/>
          <w:bCs w:val="1"/>
          <w:color w:val="auto"/>
        </w:rPr>
      </w:pPr>
    </w:p>
    <w:p>
      <w:pPr>
        <w:jc w:val="both"/>
        <w:ind w:left="760"/>
        <w:spacing w:after="0" w:line="238"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xml:space="preserve">3.2 </w:t>
      </w:r>
      <w:r>
        <w:rPr>
          <w:rFonts w:ascii="Times New Roman" w:cs="Times New Roman" w:eastAsia="Times New Roman" w:hAnsi="Times New Roman"/>
          <w:sz w:val="22"/>
          <w:szCs w:val="22"/>
          <w:u w:val="single" w:color="auto"/>
          <w:color w:val="auto"/>
        </w:rPr>
        <w:t>Exclusion as to Catalent.</w:t>
      </w:r>
      <w:r>
        <w:rPr>
          <w:rFonts w:ascii="Times New Roman" w:cs="Times New Roman" w:eastAsia="Times New Roman" w:hAnsi="Times New Roman"/>
          <w:sz w:val="22"/>
          <w:szCs w:val="22"/>
          <w:color w:val="auto"/>
        </w:rPr>
        <w:t xml:space="preserve"> Nothing in the release in this Section 3 shall be construed to release, waive, or otherwise affect any claims, rights, or obligations arising under any pre-existing agreements between REGENXBIO and Catalent that are separate from Catalent’s manufacture, supply, or other activities performed for or on behalf of Sarepta with respect to ELEVIDYS® or any Sarepta gene therapy that uses an AAVrh74-based capsid.</w:t>
      </w:r>
    </w:p>
    <w:p>
      <w:pPr>
        <w:spacing w:after="0" w:line="199" w:lineRule="exact"/>
        <w:rPr>
          <w:rFonts w:ascii="Times New Roman" w:cs="Times New Roman" w:eastAsia="Times New Roman" w:hAnsi="Times New Roman"/>
          <w:sz w:val="22"/>
          <w:szCs w:val="22"/>
          <w:b w:val="1"/>
          <w:bCs w:val="1"/>
          <w:color w:val="auto"/>
        </w:rPr>
      </w:pPr>
    </w:p>
    <w:p>
      <w:pPr>
        <w:ind w:left="760" w:hanging="758"/>
        <w:spacing w:after="0"/>
        <w:tabs>
          <w:tab w:leader="none" w:pos="760" w:val="left"/>
        </w:tabs>
        <w:numPr>
          <w:ilvl w:val="0"/>
          <w:numId w:val="1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Covenant Not to Sue.</w:t>
      </w:r>
    </w:p>
    <w:p>
      <w:pPr>
        <w:spacing w:after="0" w:line="237" w:lineRule="exact"/>
        <w:rPr>
          <w:rFonts w:ascii="Times New Roman" w:cs="Times New Roman" w:eastAsia="Times New Roman" w:hAnsi="Times New Roman"/>
          <w:sz w:val="22"/>
          <w:szCs w:val="22"/>
          <w:b w:val="1"/>
          <w:bCs w:val="1"/>
          <w:color w:val="auto"/>
        </w:rPr>
      </w:pPr>
    </w:p>
    <w:p>
      <w:pPr>
        <w:jc w:val="both"/>
        <w:ind w:left="760" w:right="20"/>
        <w:spacing w:after="0" w:line="239"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4.1 Plaintiffs, on behalf of themselves and their current affiliates, and their successors, and assigns, will covenant not to sue Defendants, their current affiliates, licensees, commercial partners, successors, and permitted assigns, with respect to any and all claims of patent infringement of the UPENN Patents, solely to the extent that such infringement</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641350</wp:posOffset>
            </wp:positionV>
            <wp:extent cx="7157720"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00"/>
          </w:cols>
          <w:pgMar w:left="700" w:top="1440" w:right="699" w:bottom="1440" w:gutter="0" w:footer="0" w:header="0"/>
        </w:sectPr>
      </w:pPr>
    </w:p>
    <w:bookmarkStart w:id="51" w:name="page52"/>
    <w:bookmarkEnd w:id="51"/>
    <w:p>
      <w:pPr>
        <w:jc w:val="both"/>
        <w:ind w:left="760" w:right="20"/>
        <w:spacing w:after="0" w:line="258" w:lineRule="auto"/>
        <w:rPr>
          <w:sz w:val="20"/>
          <w:szCs w:val="20"/>
          <w:color w:val="auto"/>
        </w:rPr>
      </w:pPr>
      <w:r>
        <w:rPr>
          <w:rFonts w:ascii="Times New Roman" w:cs="Times New Roman" w:eastAsia="Times New Roman" w:hAnsi="Times New Roman"/>
          <w:sz w:val="22"/>
          <w:szCs w:val="22"/>
          <w:color w:val="auto"/>
        </w:rPr>
        <w:t>arises from or relates to any Sarepta gene therapy product that uses an AAVrh74-based capsid, including ELEVIDYS®.</w:t>
      </w:r>
    </w:p>
    <w:p>
      <w:pPr>
        <w:spacing w:after="0" w:line="185" w:lineRule="exact"/>
        <w:rPr>
          <w:sz w:val="20"/>
          <w:szCs w:val="20"/>
          <w:color w:val="auto"/>
        </w:rPr>
      </w:pPr>
    </w:p>
    <w:p>
      <w:pPr>
        <w:jc w:val="both"/>
        <w:ind w:left="760"/>
        <w:spacing w:after="0" w:line="235" w:lineRule="auto"/>
        <w:rPr>
          <w:sz w:val="20"/>
          <w:szCs w:val="20"/>
          <w:color w:val="auto"/>
        </w:rPr>
      </w:pPr>
      <w:r>
        <w:rPr>
          <w:rFonts w:ascii="Times New Roman" w:cs="Times New Roman" w:eastAsia="Times New Roman" w:hAnsi="Times New Roman"/>
          <w:sz w:val="22"/>
          <w:szCs w:val="22"/>
          <w:color w:val="auto"/>
        </w:rPr>
        <w:t>4.2 REGENXBIO on behalf of itself and current affiliates, and their successors, and assigns, will covenant not to sue Sarepta, their current affiliates, licensees, commercial partners, successors, and permitted assigns, with respect to any and all claims of patent infringement of any REGENXBIO controlled or owned patents or patent applications that cover the existing form of ELEVIDYS® or that cover the AAVrh74 capsid sequence (“the REGENXBIO Patents”). This covenant not to sue with respect to the REGENXBIO Patents is referred to herein as the “REGENXBIO-only CNS.” For the avoidance of doubt, the REGENXBIO Patents do not include the UPENN Patents.</w:t>
      </w:r>
    </w:p>
    <w:p>
      <w:pPr>
        <w:spacing w:after="0" w:line="210" w:lineRule="exact"/>
        <w:rPr>
          <w:sz w:val="20"/>
          <w:szCs w:val="20"/>
          <w:color w:val="auto"/>
        </w:rPr>
      </w:pPr>
    </w:p>
    <w:p>
      <w:pPr>
        <w:jc w:val="both"/>
        <w:ind w:left="760"/>
        <w:spacing w:after="0" w:line="235" w:lineRule="auto"/>
        <w:rPr>
          <w:sz w:val="20"/>
          <w:szCs w:val="20"/>
          <w:color w:val="auto"/>
        </w:rPr>
      </w:pPr>
      <w:r>
        <w:rPr>
          <w:rFonts w:ascii="Times New Roman" w:cs="Times New Roman" w:eastAsia="Times New Roman" w:hAnsi="Times New Roman"/>
          <w:sz w:val="22"/>
          <w:szCs w:val="22"/>
          <w:color w:val="auto"/>
        </w:rPr>
        <w:t>4.3 Notwithstanding any language to the contrary, the REGENXBIO-only CNS does not extend to patents and/or patent applications that cover other aspects of gene therapy products, regardless of whether those gene therapy products also use an AAVrh74-based capsid. For the avoidance of doubt, the current form of ELEVIDYS® drug substance and drug product are fully covered by this REGENXBIO-only CNS, including any changes made in accordance with 21 C.F.R. § 601.12 or any equivalent foreign regulation, but only to the extent that such changes do not change the sequence of the ELEVIDYS® promoter, transgene, or capsid protein.</w:t>
      </w:r>
    </w:p>
    <w:p>
      <w:pPr>
        <w:spacing w:after="0" w:line="206" w:lineRule="exact"/>
        <w:rPr>
          <w:sz w:val="20"/>
          <w:szCs w:val="20"/>
          <w:color w:val="auto"/>
        </w:rPr>
      </w:pPr>
    </w:p>
    <w:p>
      <w:pPr>
        <w:ind w:left="760" w:hanging="758"/>
        <w:spacing w:after="0"/>
        <w:tabs>
          <w:tab w:leader="none" w:pos="760" w:val="left"/>
        </w:tabs>
        <w:numPr>
          <w:ilvl w:val="0"/>
          <w:numId w:val="1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Assignment and Transfer.</w:t>
      </w:r>
    </w:p>
    <w:p>
      <w:pPr>
        <w:spacing w:after="0" w:line="237" w:lineRule="exact"/>
        <w:rPr>
          <w:rFonts w:ascii="Times New Roman" w:cs="Times New Roman" w:eastAsia="Times New Roman" w:hAnsi="Times New Roman"/>
          <w:sz w:val="22"/>
          <w:szCs w:val="22"/>
          <w:b w:val="1"/>
          <w:bCs w:val="1"/>
          <w:color w:val="auto"/>
        </w:rPr>
      </w:pPr>
    </w:p>
    <w:p>
      <w:pPr>
        <w:jc w:val="both"/>
        <w:ind w:left="760"/>
        <w:spacing w:after="0" w:line="234"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xml:space="preserve">5.1 </w:t>
      </w:r>
      <w:r>
        <w:rPr>
          <w:rFonts w:ascii="Times New Roman" w:cs="Times New Roman" w:eastAsia="Times New Roman" w:hAnsi="Times New Roman"/>
          <w:sz w:val="22"/>
          <w:szCs w:val="22"/>
          <w:u w:val="single" w:color="auto"/>
          <w:color w:val="auto"/>
        </w:rPr>
        <w:t>By Plaintiffs.</w:t>
      </w:r>
      <w:r>
        <w:rPr>
          <w:rFonts w:ascii="Times New Roman" w:cs="Times New Roman" w:eastAsia="Times New Roman" w:hAnsi="Times New Roman"/>
          <w:sz w:val="22"/>
          <w:szCs w:val="22"/>
          <w:color w:val="auto"/>
        </w:rPr>
        <w:t xml:space="preserve"> The releases and covenants set forth in this Agreement are binding upon Plaintiffs and their current affiliates, and their successors, and assigns, including in the event of a merger, acquisition, bankruptcy, insolvency, reorganization, liquidation, or change of control, and will inure to the benefit of Defendants, as specified above, and their current affiliates, licensees, commercial partners, successors, and permitted assigns solely to the extent that their activities involve a Sarepta gene therapy product that uses an AAVrh74-based capsid. Plaintiffs will ensure that any sale, transfer, assignment, or other disposition of the UPENN Patents, whether in the ordinary course or pursuant to a bankruptcy or insolvency proceeding, is made expressly subject to the releases and covenants set forth in this Agreement, and Plaintiffs will provide Defendants with prompt written notice of any such sale, transfer, assignment, or disposition.</w:t>
      </w:r>
    </w:p>
    <w:p>
      <w:pPr>
        <w:spacing w:after="0" w:line="210" w:lineRule="exact"/>
        <w:rPr>
          <w:rFonts w:ascii="Times New Roman" w:cs="Times New Roman" w:eastAsia="Times New Roman" w:hAnsi="Times New Roman"/>
          <w:sz w:val="22"/>
          <w:szCs w:val="22"/>
          <w:b w:val="1"/>
          <w:bCs w:val="1"/>
          <w:color w:val="auto"/>
        </w:rPr>
      </w:pPr>
    </w:p>
    <w:p>
      <w:pPr>
        <w:jc w:val="both"/>
        <w:ind w:left="760"/>
        <w:spacing w:after="0" w:line="239"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Furthermore, Plaintiffs will not grant, and will ensure that its affiliates, successors and assigns do not grant, to any future affiliate or third party any rights to enforce the UPENN Patents against the Defendants, or their affiliates, existing licensees, commercial partners, successors, or assigns to the extent that their activities involve a Sarepta gene therapy product that uses an AAVrh74-based capsid.</w:t>
      </w:r>
    </w:p>
    <w:p>
      <w:pPr>
        <w:spacing w:after="0" w:line="207" w:lineRule="exact"/>
        <w:rPr>
          <w:rFonts w:ascii="Times New Roman" w:cs="Times New Roman" w:eastAsia="Times New Roman" w:hAnsi="Times New Roman"/>
          <w:sz w:val="22"/>
          <w:szCs w:val="22"/>
          <w:b w:val="1"/>
          <w:bCs w:val="1"/>
          <w:color w:val="auto"/>
        </w:rPr>
      </w:pPr>
    </w:p>
    <w:p>
      <w:pPr>
        <w:jc w:val="both"/>
        <w:ind w:left="760"/>
        <w:spacing w:after="0" w:line="239"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xml:space="preserve">5.2 </w:t>
      </w:r>
      <w:r>
        <w:rPr>
          <w:rFonts w:ascii="Times New Roman" w:cs="Times New Roman" w:eastAsia="Times New Roman" w:hAnsi="Times New Roman"/>
          <w:sz w:val="22"/>
          <w:szCs w:val="22"/>
          <w:u w:val="single" w:color="auto"/>
          <w:color w:val="auto"/>
        </w:rPr>
        <w:t>By REGENXBIO</w:t>
      </w:r>
      <w:r>
        <w:rPr>
          <w:rFonts w:ascii="Times New Roman" w:cs="Times New Roman" w:eastAsia="Times New Roman" w:hAnsi="Times New Roman"/>
          <w:sz w:val="22"/>
          <w:szCs w:val="22"/>
          <w:color w:val="auto"/>
        </w:rPr>
        <w:t>. REGENXBIO will ensure that any sale, transfer, assignment, or other disposition of the REGENXBIO Patents, whether in the ordinary course or pursuant to a bankruptcy or insolvency proceeding, is made expressly subject to the releases and covenants set forth in this Agreement, and REGENXBIO will provide Defendants with prompt written notice of any such sale, transfer, assignment, or</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641350</wp:posOffset>
            </wp:positionV>
            <wp:extent cx="715772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00"/>
          </w:cols>
          <w:pgMar w:left="700" w:top="1395" w:right="699" w:bottom="1440" w:gutter="0" w:footer="0" w:header="0"/>
        </w:sectPr>
      </w:pPr>
    </w:p>
    <w:bookmarkStart w:id="52" w:name="page53"/>
    <w:bookmarkEnd w:id="52"/>
    <w:p>
      <w:pPr>
        <w:ind w:left="758"/>
        <w:spacing w:after="0"/>
        <w:rPr>
          <w:sz w:val="20"/>
          <w:szCs w:val="20"/>
          <w:color w:val="auto"/>
        </w:rPr>
      </w:pPr>
      <w:r>
        <w:rPr>
          <w:rFonts w:ascii="Times New Roman" w:cs="Times New Roman" w:eastAsia="Times New Roman" w:hAnsi="Times New Roman"/>
          <w:sz w:val="22"/>
          <w:szCs w:val="22"/>
          <w:color w:val="auto"/>
        </w:rPr>
        <w:t>disposition.</w:t>
      </w:r>
    </w:p>
    <w:p>
      <w:pPr>
        <w:spacing w:after="0" w:line="233" w:lineRule="exact"/>
        <w:rPr>
          <w:sz w:val="20"/>
          <w:szCs w:val="20"/>
          <w:color w:val="auto"/>
        </w:rPr>
      </w:pPr>
    </w:p>
    <w:p>
      <w:pPr>
        <w:jc w:val="both"/>
        <w:ind w:left="738"/>
        <w:spacing w:after="0" w:line="239" w:lineRule="auto"/>
        <w:rPr>
          <w:sz w:val="20"/>
          <w:szCs w:val="20"/>
          <w:color w:val="auto"/>
        </w:rPr>
      </w:pPr>
      <w:r>
        <w:rPr>
          <w:rFonts w:ascii="Times New Roman" w:cs="Times New Roman" w:eastAsia="Times New Roman" w:hAnsi="Times New Roman"/>
          <w:sz w:val="22"/>
          <w:szCs w:val="22"/>
          <w:color w:val="auto"/>
        </w:rPr>
        <w:t>Furthermore, REGENXBIO will not grant, and will ensure that its affiliates, successors and assigns do not grant, to any future affiliate or third party any rights to enforce the REGENXBIO Patents against the Defendants, or their affiliates, existing licensees, commercial partners, successors, or assigns to the extent that their activities involve a Sarepta gene therapy product that uses an AAVrh74-based capsid.</w:t>
      </w:r>
    </w:p>
    <w:p>
      <w:pPr>
        <w:spacing w:after="0" w:line="207" w:lineRule="exact"/>
        <w:rPr>
          <w:sz w:val="20"/>
          <w:szCs w:val="20"/>
          <w:color w:val="auto"/>
        </w:rPr>
      </w:pPr>
    </w:p>
    <w:p>
      <w:pPr>
        <w:ind w:left="738"/>
        <w:spacing w:after="0"/>
        <w:rPr>
          <w:sz w:val="20"/>
          <w:szCs w:val="20"/>
          <w:color w:val="auto"/>
        </w:rPr>
      </w:pPr>
      <w:r>
        <w:rPr>
          <w:rFonts w:ascii="Times New Roman" w:cs="Times New Roman" w:eastAsia="Times New Roman" w:hAnsi="Times New Roman"/>
          <w:sz w:val="22"/>
          <w:szCs w:val="22"/>
          <w:color w:val="auto"/>
        </w:rPr>
        <w:t>The provisions of this section are subject to the representations and warranties in Section 6.2.</w:t>
      </w:r>
    </w:p>
    <w:p>
      <w:pPr>
        <w:spacing w:after="0" w:line="233" w:lineRule="exact"/>
        <w:rPr>
          <w:sz w:val="20"/>
          <w:szCs w:val="20"/>
          <w:color w:val="auto"/>
        </w:rPr>
      </w:pPr>
    </w:p>
    <w:p>
      <w:pPr>
        <w:jc w:val="both"/>
        <w:ind w:left="758" w:right="20"/>
        <w:spacing w:after="0" w:line="235" w:lineRule="auto"/>
        <w:rPr>
          <w:sz w:val="20"/>
          <w:szCs w:val="20"/>
          <w:color w:val="auto"/>
        </w:rPr>
      </w:pPr>
      <w:r>
        <w:rPr>
          <w:rFonts w:ascii="Times New Roman" w:cs="Times New Roman" w:eastAsia="Times New Roman" w:hAnsi="Times New Roman"/>
          <w:sz w:val="22"/>
          <w:szCs w:val="22"/>
          <w:color w:val="auto"/>
        </w:rPr>
        <w:t xml:space="preserve">5.3 </w:t>
      </w:r>
      <w:r>
        <w:rPr>
          <w:rFonts w:ascii="Times New Roman" w:cs="Times New Roman" w:eastAsia="Times New Roman" w:hAnsi="Times New Roman"/>
          <w:sz w:val="22"/>
          <w:szCs w:val="22"/>
          <w:u w:val="single" w:color="auto"/>
          <w:color w:val="auto"/>
        </w:rPr>
        <w:t>By Defendants.</w:t>
      </w:r>
      <w:r>
        <w:rPr>
          <w:rFonts w:ascii="Times New Roman" w:cs="Times New Roman" w:eastAsia="Times New Roman" w:hAnsi="Times New Roman"/>
          <w:sz w:val="22"/>
          <w:szCs w:val="22"/>
          <w:color w:val="auto"/>
        </w:rPr>
        <w:t xml:space="preserve"> The releases and covenants set forth in this Agreement are granted to Defendants and their affiliates only. Such releases and covenants are not transferrable to any third party without prior written consent of Plaintiffs, except in the event of (1) a sale, license or other transfer of all or substantially all the assets of Sarepta or (2) a sale, license, or other transfer of ELEVIDYS® or any Sarepta gene therapy that uses an AAVrh74-based capsid, including but not limited to SRP-9003 (</w:t>
      </w:r>
      <w:r>
        <w:rPr>
          <w:rFonts w:ascii="Times New Roman" w:cs="Times New Roman" w:eastAsia="Times New Roman" w:hAnsi="Times New Roman"/>
          <w:sz w:val="19"/>
          <w:szCs w:val="19"/>
          <w:color w:val="auto"/>
        </w:rPr>
        <w:t>[****]</w:t>
      </w:r>
      <w:r>
        <w:rPr>
          <w:rFonts w:ascii="Times New Roman" w:cs="Times New Roman" w:eastAsia="Times New Roman" w:hAnsi="Times New Roman"/>
          <w:sz w:val="22"/>
          <w:szCs w:val="22"/>
          <w:color w:val="auto"/>
        </w:rPr>
        <w:t>), SRP-9004 (</w:t>
      </w:r>
      <w:r>
        <w:rPr>
          <w:rFonts w:ascii="Times New Roman" w:cs="Times New Roman" w:eastAsia="Times New Roman" w:hAnsi="Times New Roman"/>
          <w:sz w:val="19"/>
          <w:szCs w:val="19"/>
          <w:color w:val="auto"/>
        </w:rPr>
        <w:t>[****]</w:t>
      </w:r>
      <w:r>
        <w:rPr>
          <w:rFonts w:ascii="Times New Roman" w:cs="Times New Roman" w:eastAsia="Times New Roman" w:hAnsi="Times New Roman"/>
          <w:sz w:val="22"/>
          <w:szCs w:val="22"/>
          <w:color w:val="auto"/>
        </w:rPr>
        <w:t>), SRP-9005 (</w:t>
      </w:r>
      <w:r>
        <w:rPr>
          <w:rFonts w:ascii="Times New Roman" w:cs="Times New Roman" w:eastAsia="Times New Roman" w:hAnsi="Times New Roman"/>
          <w:sz w:val="19"/>
          <w:szCs w:val="19"/>
          <w:color w:val="auto"/>
        </w:rPr>
        <w:t>[****]</w:t>
      </w:r>
      <w:r>
        <w:rPr>
          <w:rFonts w:ascii="Times New Roman" w:cs="Times New Roman" w:eastAsia="Times New Roman" w:hAnsi="Times New Roman"/>
          <w:sz w:val="22"/>
          <w:szCs w:val="22"/>
          <w:color w:val="auto"/>
        </w:rPr>
        <w:t>), SRP-9006 (</w:t>
      </w:r>
      <w:r>
        <w:rPr>
          <w:rFonts w:ascii="Times New Roman" w:cs="Times New Roman" w:eastAsia="Times New Roman" w:hAnsi="Times New Roman"/>
          <w:sz w:val="19"/>
          <w:szCs w:val="19"/>
          <w:color w:val="auto"/>
        </w:rPr>
        <w:t>[****]</w:t>
      </w:r>
      <w:r>
        <w:rPr>
          <w:rFonts w:ascii="Times New Roman" w:cs="Times New Roman" w:eastAsia="Times New Roman" w:hAnsi="Times New Roman"/>
          <w:sz w:val="22"/>
          <w:szCs w:val="22"/>
          <w:color w:val="auto"/>
        </w:rPr>
        <w:t xml:space="preserve">), MYO-201 ( </w:t>
      </w:r>
      <w:r>
        <w:rPr>
          <w:rFonts w:ascii="Times New Roman" w:cs="Times New Roman" w:eastAsia="Times New Roman" w:hAnsi="Times New Roman"/>
          <w:sz w:val="19"/>
          <w:szCs w:val="19"/>
          <w:color w:val="auto"/>
        </w:rPr>
        <w:t>[****]), and Calpain 3 ([****]) to an unrelated third party. For the avoidance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doubt, the releases and covenants set forth in this Agreement do not extend to any third party that develops, manufactures, or commercializes a biosimilar of any gene therapy product.</w:t>
      </w:r>
    </w:p>
    <w:p>
      <w:pPr>
        <w:spacing w:after="0" w:line="208" w:lineRule="exact"/>
        <w:rPr>
          <w:sz w:val="20"/>
          <w:szCs w:val="20"/>
          <w:color w:val="auto"/>
        </w:rPr>
      </w:pPr>
    </w:p>
    <w:p>
      <w:pPr>
        <w:ind w:left="758" w:hanging="758"/>
        <w:spacing w:after="0"/>
        <w:tabs>
          <w:tab w:leader="none" w:pos="758" w:val="left"/>
        </w:tabs>
        <w:numPr>
          <w:ilvl w:val="0"/>
          <w:numId w:val="2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Representations and Warranties.</w:t>
      </w:r>
    </w:p>
    <w:p>
      <w:pPr>
        <w:spacing w:after="0" w:line="250" w:lineRule="exact"/>
        <w:rPr>
          <w:rFonts w:ascii="Times New Roman" w:cs="Times New Roman" w:eastAsia="Times New Roman" w:hAnsi="Times New Roman"/>
          <w:sz w:val="22"/>
          <w:szCs w:val="22"/>
          <w:b w:val="1"/>
          <w:bCs w:val="1"/>
          <w:color w:val="auto"/>
        </w:rPr>
      </w:pPr>
    </w:p>
    <w:p>
      <w:pPr>
        <w:ind w:left="758"/>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6.1</w:t>
      </w:r>
      <w:r>
        <w:rPr>
          <w:rFonts w:ascii="Times New Roman" w:cs="Times New Roman" w:eastAsia="Times New Roman" w:hAnsi="Times New Roman"/>
          <w:sz w:val="21"/>
          <w:szCs w:val="21"/>
          <w:u w:val="single" w:color="auto"/>
          <w:color w:val="auto"/>
        </w:rPr>
        <w:t xml:space="preserve">General Representations. </w:t>
      </w:r>
      <w:r>
        <w:rPr>
          <w:rFonts w:ascii="Times New Roman" w:cs="Times New Roman" w:eastAsia="Times New Roman" w:hAnsi="Times New Roman"/>
          <w:sz w:val="21"/>
          <w:szCs w:val="21"/>
          <w:color w:val="auto"/>
        </w:rPr>
        <w:t>Each Party represents and warrants that:</w:t>
      </w:r>
    </w:p>
    <w:p>
      <w:pPr>
        <w:spacing w:after="0" w:line="233" w:lineRule="exact"/>
        <w:rPr>
          <w:rFonts w:ascii="Times New Roman" w:cs="Times New Roman" w:eastAsia="Times New Roman" w:hAnsi="Times New Roman"/>
          <w:sz w:val="22"/>
          <w:szCs w:val="22"/>
          <w:b w:val="1"/>
          <w:bCs w:val="1"/>
          <w:color w:val="auto"/>
        </w:rPr>
      </w:pPr>
    </w:p>
    <w:p>
      <w:pPr>
        <w:ind w:left="2218" w:right="20" w:hanging="720"/>
        <w:spacing w:after="0" w:line="241" w:lineRule="auto"/>
        <w:tabs>
          <w:tab w:leader="none" w:pos="2218" w:val="left"/>
        </w:tabs>
        <w:numPr>
          <w:ilvl w:val="1"/>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has the full right, power, and authority to enter into this Agreement and to grant the releases and covenants set forth herein;</w:t>
      </w:r>
    </w:p>
    <w:p>
      <w:pPr>
        <w:spacing w:after="0" w:line="1" w:lineRule="exact"/>
        <w:rPr>
          <w:rFonts w:ascii="Times New Roman" w:cs="Times New Roman" w:eastAsia="Times New Roman" w:hAnsi="Times New Roman"/>
          <w:sz w:val="22"/>
          <w:szCs w:val="22"/>
          <w:color w:val="auto"/>
        </w:rPr>
      </w:pPr>
    </w:p>
    <w:p>
      <w:pPr>
        <w:ind w:left="2218" w:hanging="720"/>
        <w:spacing w:after="0" w:line="236" w:lineRule="auto"/>
        <w:tabs>
          <w:tab w:leader="none" w:pos="2218" w:val="left"/>
        </w:tabs>
        <w:numPr>
          <w:ilvl w:val="1"/>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execution and performance of this Agreement have been duly authorized by all necessary corporate action;</w:t>
      </w:r>
    </w:p>
    <w:p>
      <w:pPr>
        <w:spacing w:after="0" w:line="1" w:lineRule="exact"/>
        <w:rPr>
          <w:rFonts w:ascii="Times New Roman" w:cs="Times New Roman" w:eastAsia="Times New Roman" w:hAnsi="Times New Roman"/>
          <w:sz w:val="22"/>
          <w:szCs w:val="22"/>
          <w:color w:val="auto"/>
        </w:rPr>
      </w:pPr>
    </w:p>
    <w:p>
      <w:pPr>
        <w:ind w:left="2218" w:right="20" w:hanging="720"/>
        <w:spacing w:after="0" w:line="230" w:lineRule="auto"/>
        <w:tabs>
          <w:tab w:leader="none" w:pos="2218" w:val="left"/>
        </w:tabs>
        <w:numPr>
          <w:ilvl w:val="1"/>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constitutes a valid and binding obligation, enforceable against each Party in accordance with its terms; and</w:t>
      </w:r>
    </w:p>
    <w:p>
      <w:pPr>
        <w:spacing w:after="0" w:line="1" w:lineRule="exact"/>
        <w:rPr>
          <w:rFonts w:ascii="Times New Roman" w:cs="Times New Roman" w:eastAsia="Times New Roman" w:hAnsi="Times New Roman"/>
          <w:sz w:val="22"/>
          <w:szCs w:val="22"/>
          <w:color w:val="auto"/>
        </w:rPr>
      </w:pPr>
    </w:p>
    <w:p>
      <w:pPr>
        <w:ind w:left="2218" w:hanging="720"/>
        <w:spacing w:after="0" w:line="237" w:lineRule="auto"/>
        <w:tabs>
          <w:tab w:leader="none" w:pos="2218" w:val="left"/>
        </w:tabs>
        <w:numPr>
          <w:ilvl w:val="1"/>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has read and understands this Agreement, has had the opportunity to review its terms with counsel of its choosing, and executes this Agreement voluntarily and without coercion.</w:t>
      </w:r>
    </w:p>
    <w:p>
      <w:pPr>
        <w:spacing w:after="0" w:line="205" w:lineRule="exact"/>
        <w:rPr>
          <w:sz w:val="20"/>
          <w:szCs w:val="20"/>
          <w:color w:val="auto"/>
        </w:rPr>
      </w:pPr>
    </w:p>
    <w:p>
      <w:pPr>
        <w:ind w:left="758"/>
        <w:spacing w:after="0"/>
        <w:tabs>
          <w:tab w:leader="none" w:pos="1477" w:val="left"/>
        </w:tabs>
        <w:rPr>
          <w:sz w:val="20"/>
          <w:szCs w:val="20"/>
          <w:color w:val="auto"/>
        </w:rPr>
      </w:pPr>
      <w:r>
        <w:rPr>
          <w:rFonts w:ascii="Times New Roman" w:cs="Times New Roman" w:eastAsia="Times New Roman" w:hAnsi="Times New Roman"/>
          <w:sz w:val="22"/>
          <w:szCs w:val="22"/>
          <w:color w:val="auto"/>
        </w:rPr>
        <w:t>6.2</w:t>
      </w:r>
      <w:r>
        <w:rPr>
          <w:sz w:val="20"/>
          <w:szCs w:val="20"/>
          <w:color w:val="auto"/>
        </w:rPr>
        <w:tab/>
      </w:r>
      <w:r>
        <w:rPr>
          <w:rFonts w:ascii="Times New Roman" w:cs="Times New Roman" w:eastAsia="Times New Roman" w:hAnsi="Times New Roman"/>
          <w:sz w:val="21"/>
          <w:szCs w:val="21"/>
          <w:u w:val="single" w:color="auto"/>
          <w:color w:val="auto"/>
        </w:rPr>
        <w:t>Representations on Behalf of Plaintiffs.</w:t>
      </w:r>
    </w:p>
    <w:p>
      <w:pPr>
        <w:spacing w:after="0" w:line="233" w:lineRule="exact"/>
        <w:rPr>
          <w:sz w:val="20"/>
          <w:szCs w:val="20"/>
          <w:color w:val="auto"/>
        </w:rPr>
      </w:pPr>
    </w:p>
    <w:p>
      <w:pPr>
        <w:jc w:val="both"/>
        <w:ind w:left="2218" w:hanging="720"/>
        <w:spacing w:after="0" w:line="238" w:lineRule="auto"/>
        <w:tabs>
          <w:tab w:leader="none" w:pos="2218"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UPenn represents that, as of the Effective Date, (i) it is the sole and lawful owner of the UPENN Patents, and GlaxoSmithKline, LLC (formerly SmithKline Beecham Corporation, d/b/a GlaxoSmithKline, referred to as “GSK”) and REGENXBIO are the only licensees under the UPENN Patents, other than any license held by the federal government pursuant to and required by the Bayh-Dole Act and/or its implementing regulations and</w:t>
      </w:r>
    </w:p>
    <w:p>
      <w:pPr>
        <w:spacing w:after="0" w:line="204" w:lineRule="exact"/>
        <w:rPr>
          <w:sz w:val="20"/>
          <w:szCs w:val="20"/>
          <w:color w:val="auto"/>
        </w:rPr>
      </w:pPr>
    </w:p>
    <w:p>
      <w:pPr>
        <w:jc w:val="center"/>
        <w:ind w:right="-17"/>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-249555</wp:posOffset>
            </wp:positionH>
            <wp:positionV relativeFrom="paragraph">
              <wp:posOffset>649605</wp:posOffset>
            </wp:positionV>
            <wp:extent cx="715772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98"/>
          </w:cols>
          <w:pgMar w:left="702" w:top="1395" w:right="699" w:bottom="1440" w:gutter="0" w:footer="0" w:header="0"/>
        </w:sectPr>
      </w:pPr>
    </w:p>
    <w:bookmarkStart w:id="53" w:name="page54"/>
    <w:bookmarkEnd w:id="53"/>
    <w:p>
      <w:pPr>
        <w:jc w:val="both"/>
        <w:ind w:left="1500" w:right="360"/>
        <w:spacing w:after="0" w:line="234" w:lineRule="auto"/>
        <w:rPr>
          <w:sz w:val="20"/>
          <w:szCs w:val="20"/>
          <w:color w:val="auto"/>
        </w:rPr>
      </w:pPr>
      <w:r>
        <w:rPr>
          <w:rFonts w:ascii="Times New Roman" w:cs="Times New Roman" w:eastAsia="Times New Roman" w:hAnsi="Times New Roman"/>
          <w:sz w:val="22"/>
          <w:szCs w:val="22"/>
          <w:color w:val="auto"/>
        </w:rPr>
        <w:t>any license held by non-commercial entities solely for educational and research purposes; (ii) there is no person or entity other than UPenn and/or REGENXBIO who has an independent right to bring an infringement action under the UPENN Patents against Defendants for any conduct arising at any time with respect to any Sarepta gene therapy product that uses an AAVrh74-based capsid; (iii) UPenn will not voluntarily join, assist, finance, or otherwise voluntarily participate in any claim or action brought by any third party against Defendants, their affiliates, successors, or assigns, asserting infringement of the UPENN Patents based on any Sarepta gene therapy product that uses an AAVrh74-based capsid, for conduct arising at any time.</w:t>
      </w:r>
    </w:p>
    <w:p>
      <w:pPr>
        <w:spacing w:after="0" w:line="210" w:lineRule="exact"/>
        <w:rPr>
          <w:sz w:val="20"/>
          <w:szCs w:val="20"/>
          <w:color w:val="auto"/>
        </w:rPr>
      </w:pPr>
    </w:p>
    <w:p>
      <w:pPr>
        <w:jc w:val="both"/>
        <w:ind w:left="1480" w:right="360" w:hanging="720"/>
        <w:spacing w:after="0" w:line="245" w:lineRule="auto"/>
        <w:tabs>
          <w:tab w:leader="none" w:pos="1480" w:val="left"/>
        </w:tabs>
        <w:numPr>
          <w:ilvl w:val="0"/>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UPenn represents that, as of the Effective Date: (i) to the knowledge of the current staff of the Penn Center for Innovation, the center at UPenn that is responsible for technology protection, licensing and enforcement (“PCI”), without independent investigation or inquiry and without any duty to conduct any search, investigation, inquiry or other diligence, there are no issued or pending patents or patent applications owned or controlled by UPenn, other than the UPENN Patents, that cover or purport to cover the AAVrh74 capsid or ELEVIDYS®, and (ii) PCI has not received written notice from any third party licensee of any patents owned or controlled by UPenn, other than the UPENN Patents, asserting or alleging that the development, manufacture, commercialization or exploitation of any Sarepta gene therapy product that uses an AAVrh74-based capsid, including ELEVIDYS®, infringed, misappropriated, or otherwise violated any claim of any patent or patent application licensed to such third party by UPenn.</w:t>
      </w:r>
    </w:p>
    <w:p>
      <w:pPr>
        <w:spacing w:after="0" w:line="29" w:lineRule="exact"/>
        <w:rPr>
          <w:sz w:val="20"/>
          <w:szCs w:val="20"/>
          <w:color w:val="auto"/>
        </w:rPr>
      </w:pPr>
    </w:p>
    <w:p>
      <w:pPr>
        <w:jc w:val="both"/>
        <w:ind w:left="1500"/>
        <w:spacing w:after="0" w:line="244" w:lineRule="auto"/>
        <w:rPr>
          <w:sz w:val="20"/>
          <w:szCs w:val="20"/>
          <w:color w:val="auto"/>
        </w:rPr>
      </w:pPr>
      <w:r>
        <w:rPr>
          <w:rFonts w:ascii="Times New Roman" w:cs="Times New Roman" w:eastAsia="Times New Roman" w:hAnsi="Times New Roman"/>
          <w:sz w:val="21"/>
          <w:szCs w:val="21"/>
          <w:color w:val="auto"/>
        </w:rPr>
        <w:t>REGENXBIO represents and warrants that, as of the Effective Date, (i) there are no unexpired patents or patent applications that constitute REGENXBIO Patents, based on REGENXBIO’s current knowledge and understanding of ELEVIDYS®, which is based solely on publicly available information; (ii) to the extent that there are any expired patents that would constitute REGENXBIO Patents, there is no person or entity other than REGENXBIO who has an independent right to bring an infringement action under the REGENXBIO Patents against Defendants for any conduct arising at any time with respect to any Sarepta gene therapy product that uses an AAVrh74-based capsid;</w:t>
      </w:r>
    </w:p>
    <w:p>
      <w:pPr>
        <w:spacing w:after="0" w:line="6" w:lineRule="exact"/>
        <w:rPr>
          <w:sz w:val="20"/>
          <w:szCs w:val="20"/>
          <w:color w:val="auto"/>
        </w:rPr>
      </w:pPr>
    </w:p>
    <w:p>
      <w:pPr>
        <w:jc w:val="both"/>
        <w:ind w:left="1500" w:firstLine="9"/>
        <w:spacing w:after="0" w:line="232" w:lineRule="auto"/>
        <w:tabs>
          <w:tab w:leader="none" w:pos="1919"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any patent or patent application later owned or controlled by REGENXBIO covers the existing form of ELEVIDYS® or covers the AAVrh74 capsid sequence, such patent or patent application shall be subject to the provisions of Sections 4 and 5 of this Agreement; (iv) GSK has granted REGENXBIO all authority and rights necessary, to the extent that any such authority or rights from GSK are necessary, to settle all claims against Defendants relating to the Patents-in-Suit that were asserted in the Litigations and to enter into the Plaintiffs’ covenant not to sue relating to the Patents-in-Suit and the release, none of which violate or conflict with or require consent under any agreement</w:t>
      </w:r>
    </w:p>
    <w:p>
      <w:pPr>
        <w:spacing w:after="0" w:line="3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between UPenn, REGENXBIO and GSK relating to the Patents-in-Suit and</w:t>
      </w:r>
    </w:p>
    <w:p>
      <w:pPr>
        <w:spacing w:after="0" w:line="24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641350</wp:posOffset>
            </wp:positionV>
            <wp:extent cx="715772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395" w:right="339" w:bottom="1440" w:gutter="0" w:footer="0" w:header="0"/>
        </w:sectPr>
      </w:pPr>
    </w:p>
    <w:bookmarkStart w:id="54" w:name="page55"/>
    <w:bookmarkEnd w:id="54"/>
    <w:p>
      <w:pPr>
        <w:jc w:val="both"/>
        <w:ind w:left="2240" w:firstLine="9"/>
        <w:spacing w:after="0" w:line="238" w:lineRule="auto"/>
        <w:tabs>
          <w:tab w:leader="none" w:pos="2556"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REGENXBIO will not voluntarily join, assist, finance, or otherwise voluntarily participate in any claim or action brought by any third party against Defendants, their affiliates, successors, or assigns, asserting infringement of the REGENXBIO Patents based on any Sarepta gene therapy product that uses an AAVrh74-based capsid, for conduct arising at any time.</w:t>
      </w:r>
    </w:p>
    <w:p>
      <w:pPr>
        <w:spacing w:after="0" w:line="204" w:lineRule="exact"/>
        <w:rPr>
          <w:sz w:val="20"/>
          <w:szCs w:val="20"/>
          <w:color w:val="auto"/>
        </w:rPr>
      </w:pPr>
    </w:p>
    <w:p>
      <w:pPr>
        <w:jc w:val="both"/>
        <w:ind w:left="760"/>
        <w:spacing w:after="0" w:line="233" w:lineRule="auto"/>
        <w:rPr>
          <w:sz w:val="20"/>
          <w:szCs w:val="20"/>
          <w:color w:val="auto"/>
        </w:rPr>
      </w:pPr>
      <w:r>
        <w:rPr>
          <w:rFonts w:ascii="Times New Roman" w:cs="Times New Roman" w:eastAsia="Times New Roman" w:hAnsi="Times New Roman"/>
          <w:sz w:val="22"/>
          <w:szCs w:val="22"/>
          <w:color w:val="auto"/>
        </w:rPr>
        <w:t xml:space="preserve">6.3 </w:t>
      </w:r>
      <w:r>
        <w:rPr>
          <w:rFonts w:ascii="Times New Roman" w:cs="Times New Roman" w:eastAsia="Times New Roman" w:hAnsi="Times New Roman"/>
          <w:sz w:val="22"/>
          <w:szCs w:val="22"/>
          <w:u w:val="single" w:color="auto"/>
          <w:color w:val="auto"/>
        </w:rPr>
        <w:t>Representations on Behalf of Defendants</w:t>
      </w:r>
      <w:r>
        <w:rPr>
          <w:rFonts w:ascii="Times New Roman" w:cs="Times New Roman" w:eastAsia="Times New Roman" w:hAnsi="Times New Roman"/>
          <w:sz w:val="22"/>
          <w:szCs w:val="22"/>
          <w:color w:val="auto"/>
        </w:rPr>
        <w:t>. Sarepta represents that it will not affirmatively challenge the validity or enforceability of any claim of the UPENN Patents or the REGENXBIO Patents in any context or forum, including but not limited to any court or United States Patent and Trademark Office proceeding (including, but not limited to, inter partes review, ex parte re-examination, derivation, or post-grant review proceedings), including, but not limited to, initiating or cooperating with any Third Party in instituting or prosecuting a declaratory judgment action with respect to any of the UPENN Patents or the REGENXBIO Patents. Notwithstanding the foregoing, nothing in this section 6.3 shall prevent Defendants, their current affiliates, licensees, commercial partners, successors, and permitted assigns from defending themselves in any legal action or from challenging the validity or enforceability of any patents, including the UPENN Patents and the REGENXBIO Patents, if those patents are asserted against them in the future by any party, including but not limited to by (1) seeking relief from the U.S. Patent and Trademark Office (including, but not limited to, inter partes review, ex parte re-examination, derivation, or post-grant review proceedings), or (2) asserting any argument, claim or defense in litigation brought against it in court.</w:t>
      </w:r>
    </w:p>
    <w:p>
      <w:pPr>
        <w:spacing w:after="0" w:line="219" w:lineRule="exact"/>
        <w:rPr>
          <w:sz w:val="20"/>
          <w:szCs w:val="20"/>
          <w:color w:val="auto"/>
        </w:rPr>
      </w:pPr>
    </w:p>
    <w:p>
      <w:pPr>
        <w:jc w:val="both"/>
        <w:ind w:left="720" w:hanging="718"/>
        <w:spacing w:after="0" w:line="233" w:lineRule="auto"/>
        <w:tabs>
          <w:tab w:leader="none" w:pos="720" w:val="left"/>
        </w:tabs>
        <w:numPr>
          <w:ilvl w:val="0"/>
          <w:numId w:val="2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Confidentiality. </w:t>
      </w:r>
      <w:r>
        <w:rPr>
          <w:rFonts w:ascii="Times New Roman" w:cs="Times New Roman" w:eastAsia="Times New Roman" w:hAnsi="Times New Roman"/>
          <w:sz w:val="22"/>
          <w:szCs w:val="22"/>
          <w:color w:val="auto"/>
        </w:rPr>
        <w:t>The terms of this Agreement shall be maintained in confidence by the Parties and shall not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disclosed to any third party, except that any Party may disclose the terms of this Agreement: (a) to its accountants, auditors, attorneys, and financial advisors, provided that such persons are informed of, and agree to be bound by, the confidentiality of this Agreement; (b) in connection with a potential or actual merger, acquisition, financing, change of control, sale, license or transfer of all or substantially all of the applicable business or assets of such Party or the sale, license or transfer of ELEVIDYS® or any Sarepta gene therapy that uses an AAVrh74-based capsid, including but not limited to SRP-9001, SRP-9003, SRP-9004, SRP-9005, SRP-9006, MYO-201, and Calpain 3,</w:t>
      </w:r>
    </w:p>
    <w:p>
      <w:pPr>
        <w:spacing w:after="0" w:line="7" w:lineRule="exact"/>
        <w:rPr>
          <w:rFonts w:ascii="Times New Roman" w:cs="Times New Roman" w:eastAsia="Times New Roman" w:hAnsi="Times New Roman"/>
          <w:sz w:val="22"/>
          <w:szCs w:val="22"/>
          <w:b w:val="1"/>
          <w:bCs w:val="1"/>
          <w:color w:val="auto"/>
        </w:rPr>
      </w:pPr>
    </w:p>
    <w:p>
      <w:pPr>
        <w:ind w:left="740"/>
        <w:spacing w:after="0" w:line="230"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when subject to confidentiality obligations at least as protective as those set forth herein;</w:t>
      </w:r>
    </w:p>
    <w:p>
      <w:pPr>
        <w:jc w:val="both"/>
        <w:ind w:left="740" w:firstLine="10"/>
        <w:spacing w:after="0" w:line="232" w:lineRule="auto"/>
        <w:tabs>
          <w:tab w:leader="none" w:pos="1056"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required by law or the rules or regulations of any stock exchange or governmental or regulatory body, including any disclosure believed in good faith by counsel to be necessary to comply with SEC reporting or disclosure obligations; (d) pursuant to subpoena or other compulsory legal process, provided that the disclosing Party gives the other Parties prompt written notice and a reasonable opportunity to seek a protective order or otherwise contest such disclosure before making it; (e) to any upstream licensors of the Parties as required by any existing agreements, when subject to confidentiality obligations at least as protective as those set forth herein; or (f) as mutually agreed by the Parties. Any disclosure made pursuant to clause (c) shall be limited to what is reasonably necessary for the specific purpose at issue.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649605</wp:posOffset>
            </wp:positionV>
            <wp:extent cx="7157720"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00"/>
          </w:cols>
          <w:pgMar w:left="700" w:top="1314" w:right="699" w:bottom="1440" w:gutter="0" w:footer="0" w:header="0"/>
        </w:sectPr>
      </w:pPr>
    </w:p>
    <w:bookmarkStart w:id="55" w:name="page56"/>
    <w:bookmarkEnd w:id="55"/>
    <w:p>
      <w:pPr>
        <w:jc w:val="both"/>
        <w:ind w:left="718" w:hanging="718"/>
        <w:spacing w:after="0" w:line="246" w:lineRule="auto"/>
        <w:tabs>
          <w:tab w:leader="none" w:pos="718" w:val="left"/>
        </w:tabs>
        <w:numPr>
          <w:ilvl w:val="0"/>
          <w:numId w:val="2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Notices. </w:t>
      </w:r>
      <w:r>
        <w:rPr>
          <w:rFonts w:ascii="Times New Roman" w:cs="Times New Roman" w:eastAsia="Times New Roman" w:hAnsi="Times New Roman"/>
          <w:sz w:val="22"/>
          <w:szCs w:val="22"/>
          <w:color w:val="auto"/>
        </w:rPr>
        <w:t>Any notice under this Agreement shall be effective if in writing and (i) personally delivered, (ii) sent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certified or registered mail, return receipt requested, or (iii) sent by electronic mail with confirmation of receipt, addressed as follows:</w:t>
      </w:r>
    </w:p>
    <w:p>
      <w:pPr>
        <w:spacing w:after="0" w:line="198" w:lineRule="exact"/>
        <w:rPr>
          <w:sz w:val="20"/>
          <w:szCs w:val="20"/>
          <w:color w:val="auto"/>
        </w:rPr>
      </w:pPr>
    </w:p>
    <w:p>
      <w:pPr>
        <w:ind w:left="738"/>
        <w:spacing w:after="0"/>
        <w:rPr>
          <w:sz w:val="20"/>
          <w:szCs w:val="20"/>
          <w:color w:val="auto"/>
        </w:rPr>
      </w:pPr>
      <w:r>
        <w:rPr>
          <w:rFonts w:ascii="Times New Roman" w:cs="Times New Roman" w:eastAsia="Times New Roman" w:hAnsi="Times New Roman"/>
          <w:sz w:val="22"/>
          <w:szCs w:val="22"/>
          <w:color w:val="auto"/>
        </w:rPr>
        <w:t>If to Sarepta, to:</w:t>
      </w:r>
    </w:p>
    <w:p>
      <w:pPr>
        <w:spacing w:after="0" w:line="233" w:lineRule="exact"/>
        <w:rPr>
          <w:sz w:val="20"/>
          <w:szCs w:val="20"/>
          <w:color w:val="auto"/>
        </w:rPr>
      </w:pPr>
    </w:p>
    <w:p>
      <w:pPr>
        <w:ind w:left="1498"/>
        <w:spacing w:after="0"/>
        <w:rPr>
          <w:sz w:val="20"/>
          <w:szCs w:val="20"/>
          <w:color w:val="auto"/>
        </w:rPr>
      </w:pPr>
      <w:r>
        <w:rPr>
          <w:rFonts w:ascii="Times New Roman" w:cs="Times New Roman" w:eastAsia="Times New Roman" w:hAnsi="Times New Roman"/>
          <w:sz w:val="22"/>
          <w:szCs w:val="22"/>
          <w:color w:val="auto"/>
        </w:rPr>
        <w:t>Attn: General Counsel 215 First</w:t>
      </w:r>
    </w:p>
    <w:p>
      <w:pPr>
        <w:spacing w:after="0" w:line="4" w:lineRule="exact"/>
        <w:rPr>
          <w:sz w:val="20"/>
          <w:szCs w:val="20"/>
          <w:color w:val="auto"/>
        </w:rPr>
      </w:pPr>
    </w:p>
    <w:p>
      <w:pPr>
        <w:ind w:left="1498"/>
        <w:spacing w:after="0"/>
        <w:rPr>
          <w:sz w:val="20"/>
          <w:szCs w:val="20"/>
          <w:color w:val="auto"/>
        </w:rPr>
      </w:pPr>
      <w:r>
        <w:rPr>
          <w:rFonts w:ascii="Times New Roman" w:cs="Times New Roman" w:eastAsia="Times New Roman" w:hAnsi="Times New Roman"/>
          <w:sz w:val="22"/>
          <w:szCs w:val="22"/>
          <w:color w:val="auto"/>
        </w:rPr>
        <w:t>Street</w:t>
      </w:r>
    </w:p>
    <w:p>
      <w:pPr>
        <w:ind w:left="1498"/>
        <w:spacing w:after="0"/>
        <w:rPr>
          <w:sz w:val="20"/>
          <w:szCs w:val="20"/>
          <w:color w:val="auto"/>
        </w:rPr>
      </w:pPr>
      <w:r>
        <w:rPr>
          <w:rFonts w:ascii="Times New Roman" w:cs="Times New Roman" w:eastAsia="Times New Roman" w:hAnsi="Times New Roman"/>
          <w:sz w:val="22"/>
          <w:szCs w:val="22"/>
          <w:color w:val="auto"/>
        </w:rPr>
        <w:t>Cambridge, Massachusetts 02142 [****]</w:t>
      </w:r>
    </w:p>
    <w:p>
      <w:pPr>
        <w:spacing w:after="0" w:line="223" w:lineRule="exact"/>
        <w:rPr>
          <w:sz w:val="20"/>
          <w:szCs w:val="20"/>
          <w:color w:val="auto"/>
        </w:rPr>
      </w:pPr>
    </w:p>
    <w:p>
      <w:pPr>
        <w:ind w:left="738"/>
        <w:spacing w:after="0"/>
        <w:rPr>
          <w:sz w:val="20"/>
          <w:szCs w:val="20"/>
          <w:color w:val="auto"/>
        </w:rPr>
      </w:pPr>
      <w:r>
        <w:rPr>
          <w:rFonts w:ascii="Times New Roman" w:cs="Times New Roman" w:eastAsia="Times New Roman" w:hAnsi="Times New Roman"/>
          <w:sz w:val="22"/>
          <w:szCs w:val="22"/>
          <w:color w:val="auto"/>
        </w:rPr>
        <w:t>with a copy to:</w:t>
      </w:r>
    </w:p>
    <w:p>
      <w:pPr>
        <w:spacing w:after="0" w:line="233" w:lineRule="exact"/>
        <w:rPr>
          <w:sz w:val="20"/>
          <w:szCs w:val="20"/>
          <w:color w:val="auto"/>
        </w:rPr>
      </w:pPr>
    </w:p>
    <w:p>
      <w:pPr>
        <w:ind w:left="1498"/>
        <w:spacing w:after="0"/>
        <w:rPr>
          <w:sz w:val="20"/>
          <w:szCs w:val="20"/>
          <w:color w:val="auto"/>
        </w:rPr>
      </w:pPr>
      <w:r>
        <w:rPr>
          <w:rFonts w:ascii="Times New Roman" w:cs="Times New Roman" w:eastAsia="Times New Roman" w:hAnsi="Times New Roman"/>
          <w:sz w:val="22"/>
          <w:szCs w:val="22"/>
          <w:color w:val="auto"/>
        </w:rPr>
        <w:t>Jim Baker</w:t>
      </w:r>
    </w:p>
    <w:p>
      <w:pPr>
        <w:spacing w:after="0" w:line="29" w:lineRule="exact"/>
        <w:rPr>
          <w:sz w:val="20"/>
          <w:szCs w:val="20"/>
          <w:color w:val="auto"/>
        </w:rPr>
      </w:pPr>
    </w:p>
    <w:p>
      <w:pPr>
        <w:ind w:left="1498"/>
        <w:spacing w:after="0"/>
        <w:rPr>
          <w:sz w:val="20"/>
          <w:szCs w:val="20"/>
          <w:color w:val="auto"/>
        </w:rPr>
      </w:pPr>
      <w:r>
        <w:rPr>
          <w:rFonts w:ascii="Times New Roman" w:cs="Times New Roman" w:eastAsia="Times New Roman" w:hAnsi="Times New Roman"/>
          <w:sz w:val="22"/>
          <w:szCs w:val="22"/>
          <w:color w:val="auto"/>
        </w:rPr>
        <w:t>Quinn Emanuel Urquhart &amp; Sullivan, LLP 295 5</w:t>
      </w:r>
      <w:r>
        <w:rPr>
          <w:rFonts w:ascii="Times New Roman" w:cs="Times New Roman" w:eastAsia="Times New Roman" w:hAnsi="Times New Roman"/>
          <w:sz w:val="14"/>
          <w:szCs w:val="14"/>
          <w:color w:val="auto"/>
        </w:rPr>
        <w:t>th</w:t>
      </w:r>
      <w:r>
        <w:rPr>
          <w:rFonts w:ascii="Times New Roman" w:cs="Times New Roman" w:eastAsia="Times New Roman" w:hAnsi="Times New Roman"/>
          <w:sz w:val="22"/>
          <w:szCs w:val="22"/>
          <w:color w:val="auto"/>
        </w:rPr>
        <w:t xml:space="preserve"> Avenue,</w:t>
      </w:r>
    </w:p>
    <w:p>
      <w:pPr>
        <w:spacing w:after="0" w:line="17" w:lineRule="exact"/>
        <w:rPr>
          <w:sz w:val="20"/>
          <w:szCs w:val="20"/>
          <w:color w:val="auto"/>
        </w:rPr>
      </w:pPr>
    </w:p>
    <w:p>
      <w:pPr>
        <w:ind w:left="1498"/>
        <w:spacing w:after="0"/>
        <w:rPr>
          <w:sz w:val="20"/>
          <w:szCs w:val="20"/>
          <w:color w:val="auto"/>
        </w:rPr>
      </w:pPr>
      <w:r>
        <w:rPr>
          <w:rFonts w:ascii="Times New Roman" w:cs="Times New Roman" w:eastAsia="Times New Roman" w:hAnsi="Times New Roman"/>
          <w:sz w:val="22"/>
          <w:szCs w:val="22"/>
          <w:color w:val="auto"/>
        </w:rPr>
        <w:t>9</w:t>
      </w:r>
      <w:r>
        <w:rPr>
          <w:rFonts w:ascii="Times New Roman" w:cs="Times New Roman" w:eastAsia="Times New Roman" w:hAnsi="Times New Roman"/>
          <w:sz w:val="14"/>
          <w:szCs w:val="14"/>
          <w:color w:val="auto"/>
        </w:rPr>
        <w:t>th</w:t>
      </w:r>
      <w:r>
        <w:rPr>
          <w:rFonts w:ascii="Times New Roman" w:cs="Times New Roman" w:eastAsia="Times New Roman" w:hAnsi="Times New Roman"/>
          <w:sz w:val="22"/>
          <w:szCs w:val="22"/>
          <w:color w:val="auto"/>
        </w:rPr>
        <w:t xml:space="preserve"> Floor</w:t>
      </w:r>
    </w:p>
    <w:p>
      <w:pPr>
        <w:spacing w:after="0" w:line="2" w:lineRule="exact"/>
        <w:rPr>
          <w:sz w:val="20"/>
          <w:szCs w:val="20"/>
          <w:color w:val="auto"/>
        </w:rPr>
      </w:pPr>
    </w:p>
    <w:p>
      <w:pPr>
        <w:ind w:left="1498"/>
        <w:spacing w:after="0"/>
        <w:rPr>
          <w:sz w:val="20"/>
          <w:szCs w:val="20"/>
          <w:color w:val="auto"/>
        </w:rPr>
      </w:pPr>
      <w:r>
        <w:rPr>
          <w:rFonts w:ascii="Times New Roman" w:cs="Times New Roman" w:eastAsia="Times New Roman" w:hAnsi="Times New Roman"/>
          <w:sz w:val="22"/>
          <w:szCs w:val="22"/>
          <w:color w:val="auto"/>
        </w:rPr>
        <w:t>New York, New York 10016 [****]</w:t>
      </w:r>
    </w:p>
    <w:p>
      <w:pPr>
        <w:spacing w:after="0" w:line="209" w:lineRule="exact"/>
        <w:rPr>
          <w:sz w:val="20"/>
          <w:szCs w:val="20"/>
          <w:color w:val="auto"/>
        </w:rPr>
      </w:pPr>
    </w:p>
    <w:p>
      <w:pPr>
        <w:ind w:left="738"/>
        <w:spacing w:after="0"/>
        <w:rPr>
          <w:sz w:val="20"/>
          <w:szCs w:val="20"/>
          <w:color w:val="auto"/>
        </w:rPr>
      </w:pPr>
      <w:r>
        <w:rPr>
          <w:rFonts w:ascii="Times New Roman" w:cs="Times New Roman" w:eastAsia="Times New Roman" w:hAnsi="Times New Roman"/>
          <w:sz w:val="22"/>
          <w:szCs w:val="22"/>
          <w:color w:val="auto"/>
        </w:rPr>
        <w:t>If to Catalent, to:</w:t>
      </w:r>
    </w:p>
    <w:p>
      <w:pPr>
        <w:spacing w:after="0" w:line="247" w:lineRule="exact"/>
        <w:rPr>
          <w:sz w:val="20"/>
          <w:szCs w:val="20"/>
          <w:color w:val="auto"/>
        </w:rPr>
      </w:pPr>
    </w:p>
    <w:p>
      <w:pPr>
        <w:ind w:left="1498"/>
        <w:spacing w:after="0"/>
        <w:rPr>
          <w:sz w:val="20"/>
          <w:szCs w:val="20"/>
          <w:color w:val="auto"/>
        </w:rPr>
      </w:pPr>
      <w:r>
        <w:rPr>
          <w:rFonts w:ascii="Times New Roman" w:cs="Times New Roman" w:eastAsia="Times New Roman" w:hAnsi="Times New Roman"/>
          <w:sz w:val="22"/>
          <w:szCs w:val="22"/>
          <w:color w:val="auto"/>
        </w:rPr>
        <w:t>Catalent, Inc.</w:t>
      </w:r>
    </w:p>
    <w:p>
      <w:pPr>
        <w:spacing w:after="0" w:line="4" w:lineRule="exact"/>
        <w:rPr>
          <w:sz w:val="20"/>
          <w:szCs w:val="20"/>
          <w:color w:val="auto"/>
        </w:rPr>
      </w:pPr>
    </w:p>
    <w:p>
      <w:pPr>
        <w:ind w:left="1498"/>
        <w:spacing w:after="0"/>
        <w:rPr>
          <w:sz w:val="20"/>
          <w:szCs w:val="20"/>
          <w:color w:val="auto"/>
        </w:rPr>
      </w:pPr>
      <w:r>
        <w:rPr>
          <w:rFonts w:ascii="Times New Roman" w:cs="Times New Roman" w:eastAsia="Times New Roman" w:hAnsi="Times New Roman"/>
          <w:sz w:val="22"/>
          <w:szCs w:val="22"/>
          <w:color w:val="auto"/>
        </w:rPr>
        <w:t>Attn: General Counsel</w:t>
      </w:r>
    </w:p>
    <w:p>
      <w:pPr>
        <w:ind w:left="1498"/>
        <w:spacing w:after="0" w:line="230" w:lineRule="auto"/>
        <w:rPr>
          <w:sz w:val="20"/>
          <w:szCs w:val="20"/>
          <w:color w:val="auto"/>
        </w:rPr>
      </w:pPr>
      <w:r>
        <w:rPr>
          <w:rFonts w:ascii="Times New Roman" w:cs="Times New Roman" w:eastAsia="Times New Roman" w:hAnsi="Times New Roman"/>
          <w:sz w:val="22"/>
          <w:szCs w:val="22"/>
          <w:color w:val="auto"/>
        </w:rPr>
        <w:t>200 Crossing Blvd., Floor 7</w:t>
      </w:r>
    </w:p>
    <w:p>
      <w:pPr>
        <w:ind w:left="1498"/>
        <w:spacing w:after="0" w:line="231" w:lineRule="auto"/>
        <w:rPr>
          <w:sz w:val="20"/>
          <w:szCs w:val="20"/>
          <w:color w:val="auto"/>
        </w:rPr>
      </w:pPr>
      <w:r>
        <w:rPr>
          <w:rFonts w:ascii="Times New Roman" w:cs="Times New Roman" w:eastAsia="Times New Roman" w:hAnsi="Times New Roman"/>
          <w:sz w:val="22"/>
          <w:szCs w:val="22"/>
          <w:color w:val="auto"/>
        </w:rPr>
        <w:t>Bridgewater, NJ 08807</w:t>
      </w:r>
    </w:p>
    <w:p>
      <w:pPr>
        <w:ind w:left="1498"/>
        <w:spacing w:after="0" w:line="230" w:lineRule="auto"/>
        <w:rPr>
          <w:sz w:val="20"/>
          <w:szCs w:val="20"/>
          <w:color w:val="auto"/>
        </w:rPr>
      </w:pPr>
      <w:r>
        <w:rPr>
          <w:rFonts w:ascii="Times New Roman" w:cs="Times New Roman" w:eastAsia="Times New Roman" w:hAnsi="Times New Roman"/>
          <w:sz w:val="22"/>
          <w:szCs w:val="22"/>
          <w:color w:val="auto"/>
        </w:rPr>
        <w:t>[****]</w:t>
      </w:r>
    </w:p>
    <w:p>
      <w:pPr>
        <w:ind w:left="1498"/>
        <w:spacing w:after="0" w:line="231" w:lineRule="auto"/>
        <w:rPr>
          <w:sz w:val="20"/>
          <w:szCs w:val="20"/>
          <w:color w:val="auto"/>
        </w:rPr>
      </w:pPr>
      <w:r>
        <w:rPr>
          <w:rFonts w:ascii="Times New Roman" w:cs="Times New Roman" w:eastAsia="Times New Roman" w:hAnsi="Times New Roman"/>
          <w:sz w:val="22"/>
          <w:szCs w:val="22"/>
          <w:color w:val="auto"/>
        </w:rPr>
        <w:t>[****]</w:t>
      </w:r>
    </w:p>
    <w:p>
      <w:pPr>
        <w:ind w:left="758"/>
        <w:spacing w:after="0" w:line="230" w:lineRule="auto"/>
        <w:rPr>
          <w:sz w:val="20"/>
          <w:szCs w:val="20"/>
          <w:color w:val="auto"/>
        </w:rPr>
      </w:pPr>
      <w:r>
        <w:rPr>
          <w:rFonts w:ascii="Times New Roman" w:cs="Times New Roman" w:eastAsia="Times New Roman" w:hAnsi="Times New Roman"/>
          <w:sz w:val="22"/>
          <w:szCs w:val="22"/>
          <w:color w:val="auto"/>
        </w:rPr>
        <w:t>with a copy to:</w:t>
      </w:r>
    </w:p>
    <w:p>
      <w:pPr>
        <w:spacing w:after="0" w:line="1" w:lineRule="exact"/>
        <w:rPr>
          <w:sz w:val="20"/>
          <w:szCs w:val="20"/>
          <w:color w:val="auto"/>
        </w:rPr>
      </w:pPr>
    </w:p>
    <w:p>
      <w:pPr>
        <w:ind w:left="1498"/>
        <w:spacing w:after="0"/>
        <w:rPr>
          <w:sz w:val="20"/>
          <w:szCs w:val="20"/>
          <w:color w:val="auto"/>
        </w:rPr>
      </w:pPr>
      <w:r>
        <w:rPr>
          <w:rFonts w:ascii="Times New Roman" w:cs="Times New Roman" w:eastAsia="Times New Roman" w:hAnsi="Times New Roman"/>
          <w:sz w:val="22"/>
          <w:szCs w:val="22"/>
          <w:color w:val="auto"/>
        </w:rPr>
        <w:t>Jim Baker</w:t>
      </w:r>
    </w:p>
    <w:p>
      <w:pPr>
        <w:spacing w:after="0" w:line="5" w:lineRule="exact"/>
        <w:rPr>
          <w:sz w:val="20"/>
          <w:szCs w:val="20"/>
          <w:color w:val="auto"/>
        </w:rPr>
      </w:pPr>
    </w:p>
    <w:p>
      <w:pPr>
        <w:ind w:left="1498"/>
        <w:spacing w:after="0"/>
        <w:rPr>
          <w:sz w:val="20"/>
          <w:szCs w:val="20"/>
          <w:color w:val="auto"/>
        </w:rPr>
      </w:pPr>
      <w:r>
        <w:rPr>
          <w:rFonts w:ascii="Times New Roman" w:cs="Times New Roman" w:eastAsia="Times New Roman" w:hAnsi="Times New Roman"/>
          <w:sz w:val="22"/>
          <w:szCs w:val="22"/>
          <w:color w:val="auto"/>
        </w:rPr>
        <w:t>Quinn Emanuel Urquhart &amp; Sullivan, LLP 295 5</w:t>
      </w:r>
      <w:r>
        <w:rPr>
          <w:rFonts w:ascii="Times New Roman" w:cs="Times New Roman" w:eastAsia="Times New Roman" w:hAnsi="Times New Roman"/>
          <w:sz w:val="14"/>
          <w:szCs w:val="14"/>
          <w:color w:val="auto"/>
        </w:rPr>
        <w:t>th</w:t>
      </w:r>
      <w:r>
        <w:rPr>
          <w:rFonts w:ascii="Times New Roman" w:cs="Times New Roman" w:eastAsia="Times New Roman" w:hAnsi="Times New Roman"/>
          <w:sz w:val="22"/>
          <w:szCs w:val="22"/>
          <w:color w:val="auto"/>
        </w:rPr>
        <w:t xml:space="preserve"> Avenue,</w:t>
      </w:r>
    </w:p>
    <w:p>
      <w:pPr>
        <w:spacing w:after="0" w:line="17" w:lineRule="exact"/>
        <w:rPr>
          <w:sz w:val="20"/>
          <w:szCs w:val="20"/>
          <w:color w:val="auto"/>
        </w:rPr>
      </w:pPr>
    </w:p>
    <w:p>
      <w:pPr>
        <w:ind w:left="1498"/>
        <w:spacing w:after="0"/>
        <w:rPr>
          <w:sz w:val="20"/>
          <w:szCs w:val="20"/>
          <w:color w:val="auto"/>
        </w:rPr>
      </w:pPr>
      <w:r>
        <w:rPr>
          <w:rFonts w:ascii="Times New Roman" w:cs="Times New Roman" w:eastAsia="Times New Roman" w:hAnsi="Times New Roman"/>
          <w:sz w:val="22"/>
          <w:szCs w:val="22"/>
          <w:color w:val="auto"/>
        </w:rPr>
        <w:t>9</w:t>
      </w:r>
      <w:r>
        <w:rPr>
          <w:rFonts w:ascii="Times New Roman" w:cs="Times New Roman" w:eastAsia="Times New Roman" w:hAnsi="Times New Roman"/>
          <w:sz w:val="14"/>
          <w:szCs w:val="14"/>
          <w:color w:val="auto"/>
        </w:rPr>
        <w:t>th</w:t>
      </w:r>
      <w:r>
        <w:rPr>
          <w:rFonts w:ascii="Times New Roman" w:cs="Times New Roman" w:eastAsia="Times New Roman" w:hAnsi="Times New Roman"/>
          <w:sz w:val="22"/>
          <w:szCs w:val="22"/>
          <w:color w:val="auto"/>
        </w:rPr>
        <w:t xml:space="preserve"> Floor</w:t>
      </w:r>
    </w:p>
    <w:p>
      <w:pPr>
        <w:spacing w:after="0" w:line="2" w:lineRule="exact"/>
        <w:rPr>
          <w:sz w:val="20"/>
          <w:szCs w:val="20"/>
          <w:color w:val="auto"/>
        </w:rPr>
      </w:pPr>
    </w:p>
    <w:p>
      <w:pPr>
        <w:ind w:left="1498"/>
        <w:spacing w:after="0"/>
        <w:rPr>
          <w:sz w:val="20"/>
          <w:szCs w:val="20"/>
          <w:color w:val="auto"/>
        </w:rPr>
      </w:pPr>
      <w:r>
        <w:rPr>
          <w:rFonts w:ascii="Times New Roman" w:cs="Times New Roman" w:eastAsia="Times New Roman" w:hAnsi="Times New Roman"/>
          <w:sz w:val="22"/>
          <w:szCs w:val="22"/>
          <w:color w:val="auto"/>
        </w:rPr>
        <w:t>New York, New York 10016 [****]</w:t>
      </w:r>
    </w:p>
    <w:p>
      <w:pPr>
        <w:spacing w:after="0" w:line="209" w:lineRule="exact"/>
        <w:rPr>
          <w:sz w:val="20"/>
          <w:szCs w:val="20"/>
          <w:color w:val="auto"/>
        </w:rPr>
      </w:pPr>
    </w:p>
    <w:p>
      <w:pPr>
        <w:ind w:left="738"/>
        <w:spacing w:after="0"/>
        <w:rPr>
          <w:sz w:val="20"/>
          <w:szCs w:val="20"/>
          <w:color w:val="auto"/>
        </w:rPr>
      </w:pPr>
      <w:r>
        <w:rPr>
          <w:rFonts w:ascii="Times New Roman" w:cs="Times New Roman" w:eastAsia="Times New Roman" w:hAnsi="Times New Roman"/>
          <w:sz w:val="22"/>
          <w:szCs w:val="22"/>
          <w:color w:val="auto"/>
        </w:rPr>
        <w:t>If to REGENXBIO, to:</w:t>
      </w:r>
    </w:p>
    <w:p>
      <w:pPr>
        <w:spacing w:after="0" w:line="233" w:lineRule="exact"/>
        <w:rPr>
          <w:sz w:val="20"/>
          <w:szCs w:val="20"/>
          <w:color w:val="auto"/>
        </w:rPr>
      </w:pPr>
    </w:p>
    <w:p>
      <w:pPr>
        <w:ind w:left="1498"/>
        <w:spacing w:after="0"/>
        <w:rPr>
          <w:sz w:val="20"/>
          <w:szCs w:val="20"/>
          <w:color w:val="auto"/>
        </w:rPr>
      </w:pPr>
      <w:r>
        <w:rPr>
          <w:rFonts w:ascii="Times New Roman" w:cs="Times New Roman" w:eastAsia="Times New Roman" w:hAnsi="Times New Roman"/>
          <w:sz w:val="22"/>
          <w:szCs w:val="22"/>
          <w:color w:val="auto"/>
        </w:rPr>
        <w:t>REGENXBIO Inc.</w:t>
      </w:r>
    </w:p>
    <w:p>
      <w:pPr>
        <w:spacing w:after="0" w:line="4" w:lineRule="exact"/>
        <w:rPr>
          <w:sz w:val="20"/>
          <w:szCs w:val="20"/>
          <w:color w:val="auto"/>
        </w:rPr>
      </w:pPr>
    </w:p>
    <w:p>
      <w:pPr>
        <w:ind w:left="1498"/>
        <w:spacing w:after="0"/>
        <w:rPr>
          <w:sz w:val="20"/>
          <w:szCs w:val="20"/>
          <w:color w:val="auto"/>
        </w:rPr>
      </w:pPr>
      <w:r>
        <w:rPr>
          <w:rFonts w:ascii="Times New Roman" w:cs="Times New Roman" w:eastAsia="Times New Roman" w:hAnsi="Times New Roman"/>
          <w:sz w:val="22"/>
          <w:szCs w:val="22"/>
          <w:color w:val="auto"/>
        </w:rPr>
        <w:t>9804 Medical Center Drive Rockville,</w:t>
      </w:r>
    </w:p>
    <w:p>
      <w:pPr>
        <w:ind w:left="1498"/>
        <w:spacing w:after="0" w:line="230" w:lineRule="auto"/>
        <w:rPr>
          <w:sz w:val="20"/>
          <w:szCs w:val="20"/>
          <w:color w:val="auto"/>
        </w:rPr>
      </w:pPr>
      <w:r>
        <w:rPr>
          <w:rFonts w:ascii="Times New Roman" w:cs="Times New Roman" w:eastAsia="Times New Roman" w:hAnsi="Times New Roman"/>
          <w:sz w:val="22"/>
          <w:szCs w:val="22"/>
          <w:color w:val="auto"/>
        </w:rPr>
        <w:t>MD 20850 Attn: Chief Legal Officer</w:t>
      </w:r>
    </w:p>
    <w:p>
      <w:pPr>
        <w:spacing w:after="0" w:line="1" w:lineRule="exact"/>
        <w:rPr>
          <w:sz w:val="20"/>
          <w:szCs w:val="20"/>
          <w:color w:val="auto"/>
        </w:rPr>
      </w:pPr>
    </w:p>
    <w:p>
      <w:pPr>
        <w:ind w:left="1498"/>
        <w:spacing w:after="0"/>
        <w:rPr>
          <w:sz w:val="20"/>
          <w:szCs w:val="20"/>
          <w:color w:val="auto"/>
        </w:rPr>
      </w:pPr>
      <w:r>
        <w:rPr>
          <w:rFonts w:ascii="Times New Roman" w:cs="Times New Roman" w:eastAsia="Times New Roman" w:hAnsi="Times New Roman"/>
          <w:sz w:val="22"/>
          <w:szCs w:val="22"/>
          <w:color w:val="auto"/>
        </w:rPr>
        <w:t>[****]</w:t>
      </w:r>
    </w:p>
    <w:p>
      <w:pPr>
        <w:spacing w:after="0" w:line="223" w:lineRule="exact"/>
        <w:rPr>
          <w:sz w:val="20"/>
          <w:szCs w:val="20"/>
          <w:color w:val="auto"/>
        </w:rPr>
      </w:pPr>
    </w:p>
    <w:p>
      <w:pPr>
        <w:jc w:val="center"/>
        <w:ind w:right="-17"/>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-249555</wp:posOffset>
            </wp:positionH>
            <wp:positionV relativeFrom="paragraph">
              <wp:posOffset>641350</wp:posOffset>
            </wp:positionV>
            <wp:extent cx="7157720"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78"/>
          </w:cols>
          <w:pgMar w:left="702" w:top="1391" w:right="719" w:bottom="1440" w:gutter="0" w:footer="0" w:header="0"/>
        </w:sectPr>
      </w:pPr>
    </w:p>
    <w:bookmarkStart w:id="56" w:name="page57"/>
    <w:bookmarkEnd w:id="56"/>
    <w:p>
      <w:pPr>
        <w:ind w:left="758"/>
        <w:spacing w:after="0"/>
        <w:rPr>
          <w:sz w:val="20"/>
          <w:szCs w:val="20"/>
          <w:color w:val="auto"/>
        </w:rPr>
      </w:pPr>
      <w:r>
        <w:rPr>
          <w:rFonts w:ascii="Times New Roman" w:cs="Times New Roman" w:eastAsia="Times New Roman" w:hAnsi="Times New Roman"/>
          <w:sz w:val="22"/>
          <w:szCs w:val="22"/>
          <w:color w:val="auto"/>
        </w:rPr>
        <w:t>with a copy to:</w:t>
      </w:r>
    </w:p>
    <w:p>
      <w:pPr>
        <w:spacing w:after="0" w:line="233" w:lineRule="exact"/>
        <w:rPr>
          <w:sz w:val="20"/>
          <w:szCs w:val="20"/>
          <w:color w:val="auto"/>
        </w:rPr>
      </w:pPr>
    </w:p>
    <w:p>
      <w:pPr>
        <w:ind w:left="1498"/>
        <w:spacing w:after="0"/>
        <w:rPr>
          <w:sz w:val="20"/>
          <w:szCs w:val="20"/>
          <w:color w:val="auto"/>
        </w:rPr>
      </w:pP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718"/>
        <w:spacing w:after="0"/>
        <w:rPr>
          <w:sz w:val="20"/>
          <w:szCs w:val="20"/>
          <w:color w:val="auto"/>
        </w:rPr>
      </w:pPr>
      <w:r>
        <w:rPr>
          <w:rFonts w:ascii="Times New Roman" w:cs="Times New Roman" w:eastAsia="Times New Roman" w:hAnsi="Times New Roman"/>
          <w:sz w:val="22"/>
          <w:szCs w:val="22"/>
          <w:color w:val="auto"/>
        </w:rPr>
        <w:t>and with a copy to:</w:t>
      </w:r>
    </w:p>
    <w:p>
      <w:pPr>
        <w:spacing w:after="0" w:line="4" w:lineRule="exact"/>
        <w:rPr>
          <w:sz w:val="20"/>
          <w:szCs w:val="20"/>
          <w:color w:val="auto"/>
        </w:rPr>
      </w:pPr>
    </w:p>
    <w:p>
      <w:pPr>
        <w:ind w:left="1498"/>
        <w:spacing w:after="0"/>
        <w:rPr>
          <w:sz w:val="20"/>
          <w:szCs w:val="20"/>
          <w:color w:val="auto"/>
        </w:rPr>
      </w:pPr>
      <w:r>
        <w:rPr>
          <w:rFonts w:ascii="Times New Roman" w:cs="Times New Roman" w:eastAsia="Times New Roman" w:hAnsi="Times New Roman"/>
          <w:sz w:val="22"/>
          <w:szCs w:val="22"/>
          <w:color w:val="auto"/>
        </w:rPr>
        <w:t>Susan Morrison</w:t>
      </w:r>
    </w:p>
    <w:p>
      <w:pPr>
        <w:ind w:left="1498"/>
        <w:spacing w:after="0"/>
        <w:rPr>
          <w:sz w:val="20"/>
          <w:szCs w:val="20"/>
          <w:color w:val="auto"/>
        </w:rPr>
      </w:pPr>
      <w:r>
        <w:rPr>
          <w:rFonts w:ascii="Times New Roman" w:cs="Times New Roman" w:eastAsia="Times New Roman" w:hAnsi="Times New Roman"/>
          <w:sz w:val="22"/>
          <w:szCs w:val="22"/>
          <w:color w:val="auto"/>
        </w:rPr>
        <w:t>Fish &amp; Richardson, LLC</w:t>
      </w:r>
    </w:p>
    <w:p>
      <w:pPr>
        <w:spacing w:after="0" w:line="7" w:lineRule="exact"/>
        <w:rPr>
          <w:sz w:val="20"/>
          <w:szCs w:val="20"/>
          <w:color w:val="auto"/>
        </w:rPr>
      </w:pPr>
    </w:p>
    <w:p>
      <w:pPr>
        <w:ind w:left="1498"/>
        <w:spacing w:after="0"/>
        <w:rPr>
          <w:sz w:val="20"/>
          <w:szCs w:val="20"/>
          <w:color w:val="auto"/>
        </w:rPr>
      </w:pPr>
      <w:r>
        <w:rPr>
          <w:rFonts w:ascii="Times New Roman" w:cs="Times New Roman" w:eastAsia="Times New Roman" w:hAnsi="Times New Roman"/>
          <w:sz w:val="22"/>
          <w:szCs w:val="22"/>
          <w:color w:val="auto"/>
        </w:rPr>
        <w:t>222 Delaware Avenue, 17</w:t>
      </w:r>
      <w:r>
        <w:rPr>
          <w:rFonts w:ascii="Times New Roman" w:cs="Times New Roman" w:eastAsia="Times New Roman" w:hAnsi="Times New Roman"/>
          <w:sz w:val="14"/>
          <w:szCs w:val="14"/>
          <w:color w:val="auto"/>
        </w:rPr>
        <w:t>th</w:t>
      </w:r>
      <w:r>
        <w:rPr>
          <w:rFonts w:ascii="Times New Roman" w:cs="Times New Roman" w:eastAsia="Times New Roman" w:hAnsi="Times New Roman"/>
          <w:sz w:val="22"/>
          <w:szCs w:val="22"/>
          <w:color w:val="auto"/>
        </w:rPr>
        <w:t xml:space="preserve"> Floor Wilmington,</w:t>
      </w:r>
    </w:p>
    <w:p>
      <w:pPr>
        <w:spacing w:after="0" w:line="14" w:lineRule="exact"/>
        <w:rPr>
          <w:sz w:val="20"/>
          <w:szCs w:val="20"/>
          <w:color w:val="auto"/>
        </w:rPr>
      </w:pPr>
    </w:p>
    <w:p>
      <w:pPr>
        <w:ind w:left="1498"/>
        <w:spacing w:after="0"/>
        <w:rPr>
          <w:sz w:val="20"/>
          <w:szCs w:val="20"/>
          <w:color w:val="auto"/>
        </w:rPr>
      </w:pPr>
      <w:r>
        <w:rPr>
          <w:rFonts w:ascii="Times New Roman" w:cs="Times New Roman" w:eastAsia="Times New Roman" w:hAnsi="Times New Roman"/>
          <w:sz w:val="22"/>
          <w:szCs w:val="22"/>
          <w:color w:val="auto"/>
        </w:rPr>
        <w:t>Delaware 19801 [****]</w:t>
      </w:r>
    </w:p>
    <w:p>
      <w:pPr>
        <w:spacing w:after="0" w:line="209" w:lineRule="exact"/>
        <w:rPr>
          <w:sz w:val="20"/>
          <w:szCs w:val="20"/>
          <w:color w:val="auto"/>
        </w:rPr>
      </w:pPr>
    </w:p>
    <w:p>
      <w:pPr>
        <w:ind w:left="738"/>
        <w:spacing w:after="0"/>
        <w:rPr>
          <w:sz w:val="20"/>
          <w:szCs w:val="20"/>
          <w:color w:val="auto"/>
        </w:rPr>
      </w:pPr>
      <w:r>
        <w:rPr>
          <w:rFonts w:ascii="Times New Roman" w:cs="Times New Roman" w:eastAsia="Times New Roman" w:hAnsi="Times New Roman"/>
          <w:sz w:val="22"/>
          <w:szCs w:val="22"/>
          <w:color w:val="auto"/>
        </w:rPr>
        <w:t>If to UPenn, to:</w:t>
      </w:r>
    </w:p>
    <w:p>
      <w:pPr>
        <w:spacing w:after="0" w:line="233" w:lineRule="exact"/>
        <w:rPr>
          <w:sz w:val="20"/>
          <w:szCs w:val="20"/>
          <w:color w:val="auto"/>
        </w:rPr>
      </w:pPr>
    </w:p>
    <w:p>
      <w:pPr>
        <w:ind w:left="1498" w:right="2740"/>
        <w:spacing w:after="0" w:line="241" w:lineRule="auto"/>
        <w:rPr>
          <w:sz w:val="20"/>
          <w:szCs w:val="20"/>
          <w:color w:val="auto"/>
        </w:rPr>
      </w:pPr>
      <w:r>
        <w:rPr>
          <w:rFonts w:ascii="Times New Roman" w:cs="Times New Roman" w:eastAsia="Times New Roman" w:hAnsi="Times New Roman"/>
          <w:sz w:val="22"/>
          <w:szCs w:val="22"/>
          <w:color w:val="auto"/>
        </w:rPr>
        <w:t>University of Pennsylvania Office of the General Counsel Attn: General Counsel</w:t>
      </w:r>
    </w:p>
    <w:p>
      <w:pPr>
        <w:ind w:left="1498"/>
        <w:spacing w:after="0" w:line="232" w:lineRule="auto"/>
        <w:rPr>
          <w:sz w:val="20"/>
          <w:szCs w:val="20"/>
          <w:color w:val="auto"/>
        </w:rPr>
      </w:pPr>
      <w:r>
        <w:rPr>
          <w:rFonts w:ascii="Times New Roman" w:cs="Times New Roman" w:eastAsia="Times New Roman" w:hAnsi="Times New Roman"/>
          <w:sz w:val="22"/>
          <w:szCs w:val="22"/>
          <w:color w:val="auto"/>
        </w:rPr>
        <w:t>FMC Tower at Cira Centre South 2929 Walnut</w:t>
      </w:r>
    </w:p>
    <w:p>
      <w:pPr>
        <w:ind w:left="1498"/>
        <w:spacing w:after="0" w:line="230" w:lineRule="auto"/>
        <w:rPr>
          <w:sz w:val="20"/>
          <w:szCs w:val="20"/>
          <w:color w:val="auto"/>
        </w:rPr>
      </w:pPr>
      <w:r>
        <w:rPr>
          <w:rFonts w:ascii="Times New Roman" w:cs="Times New Roman" w:eastAsia="Times New Roman" w:hAnsi="Times New Roman"/>
          <w:sz w:val="22"/>
          <w:szCs w:val="22"/>
          <w:color w:val="auto"/>
        </w:rPr>
        <w:t>Street, Suite 400</w:t>
      </w:r>
    </w:p>
    <w:p>
      <w:pPr>
        <w:ind w:left="1498"/>
        <w:spacing w:after="0" w:line="231" w:lineRule="auto"/>
        <w:rPr>
          <w:sz w:val="20"/>
          <w:szCs w:val="20"/>
          <w:color w:val="auto"/>
        </w:rPr>
      </w:pPr>
      <w:r>
        <w:rPr>
          <w:rFonts w:ascii="Times New Roman" w:cs="Times New Roman" w:eastAsia="Times New Roman" w:hAnsi="Times New Roman"/>
          <w:sz w:val="22"/>
          <w:szCs w:val="22"/>
          <w:color w:val="auto"/>
        </w:rPr>
        <w:t>Philadelphia, PA 19104 with a copy</w:t>
      </w:r>
    </w:p>
    <w:p>
      <w:pPr>
        <w:ind w:left="738"/>
        <w:spacing w:after="0" w:line="230" w:lineRule="auto"/>
        <w:rPr>
          <w:sz w:val="20"/>
          <w:szCs w:val="20"/>
          <w:color w:val="auto"/>
        </w:rPr>
      </w:pPr>
      <w:r>
        <w:rPr>
          <w:rFonts w:ascii="Times New Roman" w:cs="Times New Roman" w:eastAsia="Times New Roman" w:hAnsi="Times New Roman"/>
          <w:sz w:val="22"/>
          <w:szCs w:val="22"/>
          <w:color w:val="auto"/>
        </w:rPr>
        <w:t>to:</w:t>
      </w:r>
    </w:p>
    <w:p>
      <w:pPr>
        <w:ind w:left="1498"/>
        <w:spacing w:after="0" w:line="231" w:lineRule="auto"/>
        <w:rPr>
          <w:sz w:val="20"/>
          <w:szCs w:val="20"/>
          <w:color w:val="auto"/>
        </w:rPr>
      </w:pPr>
      <w:r>
        <w:rPr>
          <w:rFonts w:ascii="Times New Roman" w:cs="Times New Roman" w:eastAsia="Times New Roman" w:hAnsi="Times New Roman"/>
          <w:sz w:val="22"/>
          <w:szCs w:val="22"/>
          <w:color w:val="auto"/>
        </w:rPr>
        <w:t>Penn Center for Innovation Attn: Managing</w:t>
      </w:r>
    </w:p>
    <w:p>
      <w:pPr>
        <w:spacing w:after="0" w:line="1" w:lineRule="exact"/>
        <w:rPr>
          <w:sz w:val="20"/>
          <w:szCs w:val="20"/>
          <w:color w:val="auto"/>
        </w:rPr>
      </w:pPr>
    </w:p>
    <w:p>
      <w:pPr>
        <w:ind w:left="1498"/>
        <w:spacing w:after="0"/>
        <w:rPr>
          <w:sz w:val="20"/>
          <w:szCs w:val="20"/>
          <w:color w:val="auto"/>
        </w:rPr>
      </w:pPr>
      <w:r>
        <w:rPr>
          <w:rFonts w:ascii="Times New Roman" w:cs="Times New Roman" w:eastAsia="Times New Roman" w:hAnsi="Times New Roman"/>
          <w:sz w:val="22"/>
          <w:szCs w:val="22"/>
          <w:color w:val="auto"/>
        </w:rPr>
        <w:t>Director</w:t>
      </w:r>
    </w:p>
    <w:p>
      <w:pPr>
        <w:ind w:left="1498"/>
        <w:spacing w:after="0" w:line="233" w:lineRule="auto"/>
        <w:rPr>
          <w:sz w:val="20"/>
          <w:szCs w:val="20"/>
          <w:color w:val="auto"/>
        </w:rPr>
      </w:pPr>
      <w:r>
        <w:rPr>
          <w:rFonts w:ascii="Times New Roman" w:cs="Times New Roman" w:eastAsia="Times New Roman" w:hAnsi="Times New Roman"/>
          <w:sz w:val="22"/>
          <w:szCs w:val="22"/>
          <w:color w:val="auto"/>
        </w:rPr>
        <w:t>3600 Civic Center Blvd, 9th floor Philadelphia,</w:t>
      </w:r>
    </w:p>
    <w:p>
      <w:pPr>
        <w:spacing w:after="0" w:line="1" w:lineRule="exact"/>
        <w:rPr>
          <w:sz w:val="20"/>
          <w:szCs w:val="20"/>
          <w:color w:val="auto"/>
        </w:rPr>
      </w:pPr>
    </w:p>
    <w:p>
      <w:pPr>
        <w:ind w:left="1498"/>
        <w:spacing w:after="0"/>
        <w:rPr>
          <w:sz w:val="20"/>
          <w:szCs w:val="20"/>
          <w:color w:val="auto"/>
        </w:rPr>
      </w:pPr>
      <w:r>
        <w:rPr>
          <w:rFonts w:ascii="Times New Roman" w:cs="Times New Roman" w:eastAsia="Times New Roman" w:hAnsi="Times New Roman"/>
          <w:sz w:val="22"/>
          <w:szCs w:val="22"/>
          <w:color w:val="auto"/>
        </w:rPr>
        <w:t>PA 19104</w:t>
      </w:r>
    </w:p>
    <w:p>
      <w:pPr>
        <w:spacing w:after="0" w:line="209" w:lineRule="exact"/>
        <w:rPr>
          <w:sz w:val="20"/>
          <w:szCs w:val="20"/>
          <w:color w:val="auto"/>
        </w:rPr>
      </w:pPr>
    </w:p>
    <w:p>
      <w:pPr>
        <w:ind w:left="738"/>
        <w:spacing w:after="0"/>
        <w:rPr>
          <w:sz w:val="20"/>
          <w:szCs w:val="20"/>
          <w:color w:val="auto"/>
        </w:rPr>
      </w:pPr>
      <w:r>
        <w:rPr>
          <w:rFonts w:ascii="Times New Roman" w:cs="Times New Roman" w:eastAsia="Times New Roman" w:hAnsi="Times New Roman"/>
          <w:sz w:val="22"/>
          <w:szCs w:val="22"/>
          <w:color w:val="auto"/>
        </w:rPr>
        <w:t>and with a copy to:</w:t>
      </w:r>
    </w:p>
    <w:p>
      <w:pPr>
        <w:spacing w:after="0" w:line="233" w:lineRule="exact"/>
        <w:rPr>
          <w:sz w:val="20"/>
          <w:szCs w:val="20"/>
          <w:color w:val="auto"/>
        </w:rPr>
      </w:pPr>
    </w:p>
    <w:p>
      <w:pPr>
        <w:ind w:left="1498"/>
        <w:spacing w:after="0"/>
        <w:rPr>
          <w:sz w:val="20"/>
          <w:szCs w:val="20"/>
          <w:color w:val="auto"/>
        </w:rPr>
      </w:pPr>
      <w:r>
        <w:rPr>
          <w:rFonts w:ascii="Times New Roman" w:cs="Times New Roman" w:eastAsia="Times New Roman" w:hAnsi="Times New Roman"/>
          <w:sz w:val="22"/>
          <w:szCs w:val="22"/>
          <w:color w:val="auto"/>
        </w:rPr>
        <w:t>Julie Goldemberg</w:t>
      </w:r>
    </w:p>
    <w:p>
      <w:pPr>
        <w:spacing w:after="0" w:line="4" w:lineRule="exact"/>
        <w:rPr>
          <w:sz w:val="20"/>
          <w:szCs w:val="20"/>
          <w:color w:val="auto"/>
        </w:rPr>
      </w:pPr>
    </w:p>
    <w:p>
      <w:pPr>
        <w:ind w:left="1498"/>
        <w:spacing w:after="0"/>
        <w:rPr>
          <w:sz w:val="20"/>
          <w:szCs w:val="20"/>
          <w:color w:val="auto"/>
        </w:rPr>
      </w:pPr>
      <w:r>
        <w:rPr>
          <w:rFonts w:ascii="Times New Roman" w:cs="Times New Roman" w:eastAsia="Times New Roman" w:hAnsi="Times New Roman"/>
          <w:sz w:val="22"/>
          <w:szCs w:val="22"/>
          <w:color w:val="auto"/>
        </w:rPr>
        <w:t>Morgan, Lewis &amp; Bockius LLP 2222 Market St.</w:t>
      </w:r>
    </w:p>
    <w:p>
      <w:pPr>
        <w:ind w:left="1498"/>
        <w:spacing w:after="0"/>
        <w:rPr>
          <w:sz w:val="20"/>
          <w:szCs w:val="20"/>
          <w:color w:val="auto"/>
        </w:rPr>
      </w:pPr>
      <w:r>
        <w:rPr>
          <w:rFonts w:ascii="Times New Roman" w:cs="Times New Roman" w:eastAsia="Times New Roman" w:hAnsi="Times New Roman"/>
          <w:sz w:val="22"/>
          <w:szCs w:val="22"/>
          <w:color w:val="auto"/>
        </w:rPr>
        <w:t>Philadelphia, Pennsylvania 19103</w:t>
      </w:r>
    </w:p>
    <w:p>
      <w:pPr>
        <w:spacing w:after="0" w:line="4" w:lineRule="exact"/>
        <w:rPr>
          <w:sz w:val="20"/>
          <w:szCs w:val="20"/>
          <w:color w:val="auto"/>
        </w:rPr>
      </w:pPr>
    </w:p>
    <w:p>
      <w:pPr>
        <w:ind w:left="1498"/>
        <w:spacing w:after="0"/>
        <w:rPr>
          <w:sz w:val="20"/>
          <w:szCs w:val="20"/>
          <w:color w:val="auto"/>
        </w:rPr>
      </w:pPr>
      <w:r>
        <w:rPr>
          <w:rFonts w:ascii="Times New Roman" w:cs="Times New Roman" w:eastAsia="Times New Roman" w:hAnsi="Times New Roman"/>
          <w:sz w:val="22"/>
          <w:szCs w:val="22"/>
          <w:color w:val="auto"/>
        </w:rPr>
        <w:t>[****]</w:t>
      </w:r>
    </w:p>
    <w:p>
      <w:pPr>
        <w:spacing w:after="0" w:line="209" w:lineRule="exact"/>
        <w:rPr>
          <w:sz w:val="20"/>
          <w:szCs w:val="20"/>
          <w:color w:val="auto"/>
        </w:rPr>
      </w:pPr>
    </w:p>
    <w:p>
      <w:pPr>
        <w:ind w:left="738"/>
        <w:spacing w:after="0" w:line="258" w:lineRule="auto"/>
        <w:rPr>
          <w:sz w:val="20"/>
          <w:szCs w:val="20"/>
          <w:color w:val="auto"/>
        </w:rPr>
      </w:pPr>
      <w:r>
        <w:rPr>
          <w:rFonts w:ascii="Times New Roman" w:cs="Times New Roman" w:eastAsia="Times New Roman" w:hAnsi="Times New Roman"/>
          <w:sz w:val="22"/>
          <w:szCs w:val="22"/>
          <w:color w:val="auto"/>
        </w:rPr>
        <w:t>Any such notice shall be deemed to have been received on the date actually received. A Party may change its notice information by giving the other Parties written notice in accordance with this Section 8.</w:t>
      </w:r>
    </w:p>
    <w:p>
      <w:pPr>
        <w:spacing w:after="0" w:line="181" w:lineRule="exact"/>
        <w:rPr>
          <w:sz w:val="20"/>
          <w:szCs w:val="20"/>
          <w:color w:val="auto"/>
        </w:rPr>
      </w:pPr>
    </w:p>
    <w:p>
      <w:pPr>
        <w:ind w:left="758" w:hanging="758"/>
        <w:spacing w:after="0"/>
        <w:tabs>
          <w:tab w:leader="none" w:pos="758" w:val="left"/>
        </w:tabs>
        <w:numPr>
          <w:ilvl w:val="0"/>
          <w:numId w:val="2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Miscellaneous.</w:t>
      </w:r>
    </w:p>
    <w:p>
      <w:pPr>
        <w:spacing w:after="0" w:line="237" w:lineRule="exact"/>
        <w:rPr>
          <w:rFonts w:ascii="Times New Roman" w:cs="Times New Roman" w:eastAsia="Times New Roman" w:hAnsi="Times New Roman"/>
          <w:sz w:val="22"/>
          <w:szCs w:val="22"/>
          <w:b w:val="1"/>
          <w:bCs w:val="1"/>
          <w:color w:val="auto"/>
        </w:rPr>
      </w:pPr>
    </w:p>
    <w:p>
      <w:pPr>
        <w:jc w:val="both"/>
        <w:ind w:left="758"/>
        <w:spacing w:after="0" w:line="244"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xml:space="preserve">9.1 </w:t>
      </w:r>
      <w:r>
        <w:rPr>
          <w:rFonts w:ascii="Times New Roman" w:cs="Times New Roman" w:eastAsia="Times New Roman" w:hAnsi="Times New Roman"/>
          <w:sz w:val="22"/>
          <w:szCs w:val="22"/>
          <w:u w:val="single" w:color="auto"/>
          <w:color w:val="auto"/>
        </w:rPr>
        <w:t>No Admission (General).</w:t>
      </w:r>
      <w:r>
        <w:rPr>
          <w:rFonts w:ascii="Times New Roman" w:cs="Times New Roman" w:eastAsia="Times New Roman" w:hAnsi="Times New Roman"/>
          <w:sz w:val="22"/>
          <w:szCs w:val="22"/>
          <w:color w:val="auto"/>
        </w:rPr>
        <w:t xml:space="preserve"> Neither this Agreement, the dismissal of the Litigations, nor the Settlement Payment shall constitute or be construed as an admission by any Party of liability, infringement, validity, or any other matter.</w:t>
      </w:r>
    </w:p>
    <w:p>
      <w:pPr>
        <w:spacing w:after="0" w:line="200" w:lineRule="exact"/>
        <w:rPr>
          <w:rFonts w:ascii="Times New Roman" w:cs="Times New Roman" w:eastAsia="Times New Roman" w:hAnsi="Times New Roman"/>
          <w:sz w:val="22"/>
          <w:szCs w:val="22"/>
          <w:b w:val="1"/>
          <w:bCs w:val="1"/>
          <w:color w:val="auto"/>
        </w:rPr>
      </w:pPr>
    </w:p>
    <w:p>
      <w:pPr>
        <w:ind w:left="758"/>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9.2</w:t>
      </w:r>
      <w:r>
        <w:rPr>
          <w:rFonts w:ascii="Times New Roman" w:cs="Times New Roman" w:eastAsia="Times New Roman" w:hAnsi="Times New Roman"/>
          <w:sz w:val="21"/>
          <w:szCs w:val="21"/>
          <w:u w:val="single" w:color="auto"/>
          <w:color w:val="auto"/>
        </w:rPr>
        <w:t xml:space="preserve">Governing Law; Forum Selection. </w:t>
      </w:r>
      <w:r>
        <w:rPr>
          <w:rFonts w:ascii="Times New Roman" w:cs="Times New Roman" w:eastAsia="Times New Roman" w:hAnsi="Times New Roman"/>
          <w:sz w:val="21"/>
          <w:szCs w:val="21"/>
          <w:color w:val="auto"/>
        </w:rPr>
        <w:t>This Agreement shall be governed by, and</w:t>
      </w:r>
    </w:p>
    <w:p>
      <w:pPr>
        <w:spacing w:after="0" w:line="247" w:lineRule="exact"/>
        <w:rPr>
          <w:sz w:val="20"/>
          <w:szCs w:val="20"/>
          <w:color w:val="auto"/>
        </w:rPr>
      </w:pPr>
    </w:p>
    <w:p>
      <w:pPr>
        <w:jc w:val="center"/>
        <w:ind w:right="-17"/>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-249555</wp:posOffset>
            </wp:positionH>
            <wp:positionV relativeFrom="paragraph">
              <wp:posOffset>641350</wp:posOffset>
            </wp:positionV>
            <wp:extent cx="715772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78"/>
          </w:cols>
          <w:pgMar w:left="702" w:top="1395" w:right="719" w:bottom="1440" w:gutter="0" w:footer="0" w:header="0"/>
        </w:sectPr>
      </w:pPr>
    </w:p>
    <w:bookmarkStart w:id="57" w:name="page58"/>
    <w:bookmarkEnd w:id="57"/>
    <w:p>
      <w:pPr>
        <w:jc w:val="both"/>
        <w:ind w:left="20"/>
        <w:spacing w:after="0" w:line="239" w:lineRule="auto"/>
        <w:rPr>
          <w:sz w:val="20"/>
          <w:szCs w:val="20"/>
          <w:color w:val="auto"/>
        </w:rPr>
      </w:pPr>
      <w:r>
        <w:rPr>
          <w:rFonts w:ascii="Times New Roman" w:cs="Times New Roman" w:eastAsia="Times New Roman" w:hAnsi="Times New Roman"/>
          <w:sz w:val="22"/>
          <w:szCs w:val="22"/>
          <w:color w:val="auto"/>
        </w:rPr>
        <w:t>construed in accordance with, the laws of the State of Delaware, without regard to its conflict of laws principles. The Parties irrevocably agree that any dispute arising out of or relating to this Agreement shall be brought exclusively in the United States District Court for the District of Delaware, and each Party consents to the personal jurisdiction and venue of that court.</w:t>
      </w:r>
    </w:p>
    <w:p>
      <w:pPr>
        <w:spacing w:after="0" w:line="207" w:lineRule="exact"/>
        <w:rPr>
          <w:sz w:val="20"/>
          <w:szCs w:val="20"/>
          <w:color w:val="auto"/>
        </w:rPr>
      </w:pPr>
    </w:p>
    <w:p>
      <w:pPr>
        <w:jc w:val="both"/>
        <w:ind w:left="20"/>
        <w:spacing w:after="0" w:line="234" w:lineRule="auto"/>
        <w:rPr>
          <w:sz w:val="20"/>
          <w:szCs w:val="20"/>
          <w:color w:val="auto"/>
        </w:rPr>
      </w:pPr>
      <w:r>
        <w:rPr>
          <w:rFonts w:ascii="Times New Roman" w:cs="Times New Roman" w:eastAsia="Times New Roman" w:hAnsi="Times New Roman"/>
          <w:sz w:val="22"/>
          <w:szCs w:val="22"/>
          <w:color w:val="auto"/>
        </w:rPr>
        <w:t xml:space="preserve">9.3 </w:t>
      </w:r>
      <w:r>
        <w:rPr>
          <w:rFonts w:ascii="Times New Roman" w:cs="Times New Roman" w:eastAsia="Times New Roman" w:hAnsi="Times New Roman"/>
          <w:sz w:val="22"/>
          <w:szCs w:val="22"/>
          <w:u w:val="single" w:color="auto"/>
          <w:color w:val="auto"/>
        </w:rPr>
        <w:t>Cure Period; Remedies for Breach.</w:t>
      </w:r>
      <w:r>
        <w:rPr>
          <w:rFonts w:ascii="Times New Roman" w:cs="Times New Roman" w:eastAsia="Times New Roman" w:hAnsi="Times New Roman"/>
          <w:sz w:val="22"/>
          <w:szCs w:val="22"/>
          <w:color w:val="auto"/>
        </w:rPr>
        <w:t xml:space="preserve"> In the event any Party believes another Party has breached this Agreement, the non-breaching Party shall provide the breaching Party with written notice describing the alleged breach in reasonable detail. The breaching Party shall have thirty (30) days from receipt of such notice to cure the alleged breach. If the breach is not cured within such thirty (30)-day period, the non-breaching Party may pursue any remedy available at law or in equity, subject to Section 9.2, provided that no breach of this Agreement by any Party, whether or not cured, shall give rise to a right of rescission, and the releases and covenants set forth in Sections 3 and 4 shall remain in full force and effect regardless of any breach of this Agreement. The prevailing Party in any action to enforce this Agreement, or arising from a breach of this Agreement, shall be entitled to recover its reasonable attorneys’ fees and costs incurred in connection with such action, in addition to any other relief to which it may be entitled.</w:t>
      </w:r>
    </w:p>
    <w:p>
      <w:pPr>
        <w:spacing w:after="0" w:line="206" w:lineRule="exact"/>
        <w:rPr>
          <w:sz w:val="20"/>
          <w:szCs w:val="20"/>
          <w:color w:val="auto"/>
        </w:rPr>
      </w:pPr>
    </w:p>
    <w:p>
      <w:pPr>
        <w:jc w:val="both"/>
        <w:ind w:left="20" w:right="20"/>
        <w:spacing w:after="0" w:line="244" w:lineRule="auto"/>
        <w:rPr>
          <w:sz w:val="20"/>
          <w:szCs w:val="20"/>
          <w:color w:val="auto"/>
        </w:rPr>
      </w:pPr>
      <w:r>
        <w:rPr>
          <w:rFonts w:ascii="Times New Roman" w:cs="Times New Roman" w:eastAsia="Times New Roman" w:hAnsi="Times New Roman"/>
          <w:sz w:val="22"/>
          <w:szCs w:val="22"/>
          <w:color w:val="auto"/>
        </w:rPr>
        <w:t xml:space="preserve">9.4 </w:t>
      </w: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xml:space="preserve"> If any provision of this Agreement is held invalid, illegal, or unenforceable, the Parties shall negotiate in good faith a substitute provision that most closely reflects the original intent, and the remaining provisions shall continue in full force and effect.</w:t>
      </w:r>
    </w:p>
    <w:p>
      <w:pPr>
        <w:spacing w:after="0" w:line="200" w:lineRule="exact"/>
        <w:rPr>
          <w:sz w:val="20"/>
          <w:szCs w:val="20"/>
          <w:color w:val="auto"/>
        </w:rPr>
      </w:pPr>
    </w:p>
    <w:p>
      <w:pPr>
        <w:jc w:val="both"/>
        <w:ind w:left="20"/>
        <w:spacing w:after="0" w:line="282" w:lineRule="auto"/>
        <w:rPr>
          <w:sz w:val="20"/>
          <w:szCs w:val="20"/>
          <w:color w:val="auto"/>
        </w:rPr>
      </w:pPr>
      <w:r>
        <w:rPr>
          <w:rFonts w:ascii="Times New Roman" w:cs="Times New Roman" w:eastAsia="Times New Roman" w:hAnsi="Times New Roman"/>
          <w:sz w:val="21"/>
          <w:szCs w:val="21"/>
          <w:color w:val="auto"/>
        </w:rPr>
        <w:t xml:space="preserve">9.5 </w:t>
      </w:r>
      <w:r>
        <w:rPr>
          <w:rFonts w:ascii="Times New Roman" w:cs="Times New Roman" w:eastAsia="Times New Roman" w:hAnsi="Times New Roman"/>
          <w:sz w:val="21"/>
          <w:szCs w:val="21"/>
          <w:u w:val="single" w:color="auto"/>
          <w:color w:val="auto"/>
        </w:rPr>
        <w:t>Waiver.</w:t>
      </w:r>
      <w:r>
        <w:rPr>
          <w:rFonts w:ascii="Times New Roman" w:cs="Times New Roman" w:eastAsia="Times New Roman" w:hAnsi="Times New Roman"/>
          <w:sz w:val="21"/>
          <w:szCs w:val="21"/>
          <w:color w:val="auto"/>
        </w:rPr>
        <w:t xml:space="preserve"> No delay or failure to enforce any right under this Agreement, and no acquiescence in any default, shall constitute a waiver of that right, except pursuant to an express written waiver signed by the waiving Party.</w:t>
      </w:r>
    </w:p>
    <w:p>
      <w:pPr>
        <w:spacing w:after="0" w:line="162" w:lineRule="exact"/>
        <w:rPr>
          <w:sz w:val="20"/>
          <w:szCs w:val="20"/>
          <w:color w:val="auto"/>
        </w:rPr>
      </w:pPr>
    </w:p>
    <w:p>
      <w:pPr>
        <w:jc w:val="both"/>
        <w:ind w:left="20" w:right="20"/>
        <w:spacing w:after="0" w:line="244" w:lineRule="auto"/>
        <w:rPr>
          <w:sz w:val="20"/>
          <w:szCs w:val="20"/>
          <w:color w:val="auto"/>
        </w:rPr>
      </w:pPr>
      <w:r>
        <w:rPr>
          <w:rFonts w:ascii="Times New Roman" w:cs="Times New Roman" w:eastAsia="Times New Roman" w:hAnsi="Times New Roman"/>
          <w:sz w:val="22"/>
          <w:szCs w:val="22"/>
          <w:color w:val="auto"/>
        </w:rPr>
        <w:t xml:space="preserve">9.6 </w:t>
      </w: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xml:space="preserve"> This Agreement constitutes the entire agreement among the Parties with respect to its subject matter and supersedes all prior or contemporaneous agreements or understandings, oral or written, relating thereto. This Agreement may be amended only by a writing signed by all Parties.</w:t>
      </w:r>
    </w:p>
    <w:p>
      <w:pPr>
        <w:spacing w:after="0" w:line="214" w:lineRule="exact"/>
        <w:rPr>
          <w:sz w:val="20"/>
          <w:szCs w:val="20"/>
          <w:color w:val="auto"/>
        </w:rPr>
      </w:pPr>
    </w:p>
    <w:p>
      <w:pPr>
        <w:jc w:val="both"/>
        <w:ind w:left="20"/>
        <w:spacing w:after="0" w:line="244" w:lineRule="auto"/>
        <w:rPr>
          <w:sz w:val="20"/>
          <w:szCs w:val="20"/>
          <w:color w:val="auto"/>
        </w:rPr>
      </w:pPr>
      <w:r>
        <w:rPr>
          <w:rFonts w:ascii="Times New Roman" w:cs="Times New Roman" w:eastAsia="Times New Roman" w:hAnsi="Times New Roman"/>
          <w:sz w:val="22"/>
          <w:szCs w:val="22"/>
          <w:color w:val="auto"/>
        </w:rPr>
        <w:t xml:space="preserve">9.7 </w:t>
      </w:r>
      <w:r>
        <w:rPr>
          <w:rFonts w:ascii="Times New Roman" w:cs="Times New Roman" w:eastAsia="Times New Roman" w:hAnsi="Times New Roman"/>
          <w:sz w:val="22"/>
          <w:szCs w:val="22"/>
          <w:u w:val="single" w:color="auto"/>
          <w:color w:val="auto"/>
        </w:rPr>
        <w:t>Construction.</w:t>
      </w:r>
      <w:r>
        <w:rPr>
          <w:rFonts w:ascii="Times New Roman" w:cs="Times New Roman" w:eastAsia="Times New Roman" w:hAnsi="Times New Roman"/>
          <w:sz w:val="22"/>
          <w:szCs w:val="22"/>
          <w:color w:val="auto"/>
        </w:rPr>
        <w:t xml:space="preserve"> This Agreement has been negotiated and drafted jointly by the Parties through their respective counsel, and no provision shall be construed against any Party on the basis that it, or the Agreement as a whole, was drafted by that Party.</w:t>
      </w:r>
    </w:p>
    <w:p>
      <w:pPr>
        <w:spacing w:after="0" w:line="200" w:lineRule="exact"/>
        <w:rPr>
          <w:sz w:val="20"/>
          <w:szCs w:val="20"/>
          <w:color w:val="auto"/>
        </w:rPr>
      </w:pPr>
    </w:p>
    <w:p>
      <w:pPr>
        <w:jc w:val="both"/>
        <w:ind w:left="20" w:right="20"/>
        <w:spacing w:after="0" w:line="244" w:lineRule="auto"/>
        <w:rPr>
          <w:sz w:val="20"/>
          <w:szCs w:val="20"/>
          <w:color w:val="auto"/>
        </w:rPr>
      </w:pPr>
      <w:r>
        <w:rPr>
          <w:rFonts w:ascii="Times New Roman" w:cs="Times New Roman" w:eastAsia="Times New Roman" w:hAnsi="Times New Roman"/>
          <w:sz w:val="22"/>
          <w:szCs w:val="22"/>
          <w:color w:val="auto"/>
        </w:rPr>
        <w:t xml:space="preserve">9.8 </w:t>
      </w: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xml:space="preserve"> This Agreement may be executed in counterparts, each of which shall be deemed an original, and all of which together shall constitute one instrument. Signatures delivered by electronic means shall be deemed original signatures.</w:t>
      </w:r>
    </w:p>
    <w:p>
      <w:pPr>
        <w:spacing w:after="0" w:line="200"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21"/>
          <w:szCs w:val="21"/>
          <w:color w:val="auto"/>
        </w:rPr>
        <w:t xml:space="preserve">9.9 </w:t>
      </w:r>
      <w:r>
        <w:rPr>
          <w:rFonts w:ascii="Times New Roman" w:cs="Times New Roman" w:eastAsia="Times New Roman" w:hAnsi="Times New Roman"/>
          <w:sz w:val="21"/>
          <w:szCs w:val="21"/>
          <w:u w:val="single" w:color="auto"/>
          <w:color w:val="auto"/>
        </w:rPr>
        <w:t>Headings.</w:t>
      </w:r>
      <w:r>
        <w:rPr>
          <w:rFonts w:ascii="Times New Roman" w:cs="Times New Roman" w:eastAsia="Times New Roman" w:hAnsi="Times New Roman"/>
          <w:sz w:val="21"/>
          <w:szCs w:val="21"/>
          <w:color w:val="auto"/>
        </w:rPr>
        <w:t xml:space="preserve"> Headings are for reference only and shall not affect the interpretation of this Agreement.</w:t>
      </w:r>
    </w:p>
    <w:p>
      <w:pPr>
        <w:spacing w:after="0" w:line="241" w:lineRule="exact"/>
        <w:rPr>
          <w:sz w:val="20"/>
          <w:szCs w:val="20"/>
          <w:color w:val="auto"/>
        </w:rPr>
      </w:pPr>
    </w:p>
    <w:p>
      <w:pPr>
        <w:jc w:val="center"/>
        <w:ind w:right="740"/>
        <w:spacing w:after="0"/>
        <w:rPr>
          <w:sz w:val="20"/>
          <w:szCs w:val="20"/>
          <w:color w:val="auto"/>
        </w:rPr>
      </w:pPr>
      <w:r>
        <w:rPr>
          <w:rFonts w:ascii="Times New Roman" w:cs="Times New Roman" w:eastAsia="Times New Roman" w:hAnsi="Times New Roman"/>
          <w:sz w:val="22"/>
          <w:szCs w:val="22"/>
          <w:i w:val="1"/>
          <w:iCs w:val="1"/>
          <w:color w:val="auto"/>
        </w:rPr>
        <w:t>[SIGNATURE PAGE FOLLOWS]</w:t>
      </w:r>
    </w:p>
    <w:p>
      <w:pPr>
        <w:spacing w:after="0" w:line="23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649605</wp:posOffset>
            </wp:positionV>
            <wp:extent cx="715772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60"/>
          </w:cols>
          <w:pgMar w:left="1440" w:top="1395" w:right="69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21"/>
          <w:szCs w:val="21"/>
          <w:color w:val="auto"/>
        </w:rPr>
        <w:t>IN WITNESS WHEREOF, the Parties have executed this Agreement as of the Effective Date.</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SAREPTA THERAPEUTICS, INC.</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/s/ Michael Severino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wp:posOffset>
            </wp:positionH>
            <wp:positionV relativeFrom="paragraph">
              <wp:posOffset>-13970</wp:posOffset>
            </wp:positionV>
            <wp:extent cx="1595755"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3">
                      <a:extLst>
                        <a:ext uri="{28A0092B-C50C-407E-A947-70E740481C1C}"/>
                      </a:extLst>
                    </a:blip>
                    <a:srcRect/>
                    <a:stretch>
                      <a:fillRect/>
                    </a:stretch>
                  </pic:blipFill>
                  <pic:spPr bwMode="auto">
                    <a:xfrm>
                      <a:off x="0" y="0"/>
                      <a:ext cx="159575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Name: Michael Severino, M.D.</w:t>
      </w:r>
    </w:p>
    <w:p>
      <w:pPr>
        <w:spacing w:after="0"/>
        <w:rPr>
          <w:sz w:val="20"/>
          <w:szCs w:val="20"/>
          <w:color w:val="auto"/>
        </w:rPr>
      </w:pPr>
      <w:r>
        <w:rPr>
          <w:rFonts w:ascii="Times New Roman" w:cs="Times New Roman" w:eastAsia="Times New Roman" w:hAnsi="Times New Roman"/>
          <w:sz w:val="22"/>
          <w:szCs w:val="22"/>
          <w:color w:val="auto"/>
        </w:rPr>
        <w:t>Title: Chief Executive Officer Date: 9/23/2026</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SAREPTA THERAPEUTICS THREE, LLC</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/s/ Adam Hopkin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wp:posOffset>
            </wp:positionH>
            <wp:positionV relativeFrom="paragraph">
              <wp:posOffset>-13970</wp:posOffset>
            </wp:positionV>
            <wp:extent cx="1367155"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4">
                      <a:extLst>
                        <a:ext uri="{28A0092B-C50C-407E-A947-70E740481C1C}"/>
                      </a:extLst>
                    </a:blip>
                    <a:srcRect/>
                    <a:stretch>
                      <a:fillRect/>
                    </a:stretch>
                  </pic:blipFill>
                  <pic:spPr bwMode="auto">
                    <a:xfrm>
                      <a:off x="0" y="0"/>
                      <a:ext cx="1367155"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Name: Adam Hopkin</w:t>
      </w:r>
    </w:p>
    <w:p>
      <w:pPr>
        <w:spacing w:after="0" w:line="233" w:lineRule="auto"/>
        <w:rPr>
          <w:sz w:val="20"/>
          <w:szCs w:val="20"/>
          <w:color w:val="auto"/>
        </w:rPr>
      </w:pPr>
      <w:r>
        <w:rPr>
          <w:rFonts w:ascii="Times New Roman" w:cs="Times New Roman" w:eastAsia="Times New Roman" w:hAnsi="Times New Roman"/>
          <w:sz w:val="22"/>
          <w:szCs w:val="22"/>
          <w:color w:val="auto"/>
        </w:rPr>
        <w:t>Title: Manager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9/23/2026</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CATALENT, INC.</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/s/ Joseph Ferraro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wp:posOffset>
            </wp:positionH>
            <wp:positionV relativeFrom="paragraph">
              <wp:posOffset>-13970</wp:posOffset>
            </wp:positionV>
            <wp:extent cx="1367155"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5">
                      <a:extLst>
                        <a:ext uri="{28A0092B-C50C-407E-A947-70E740481C1C}"/>
                      </a:extLst>
                    </a:blip>
                    <a:srcRect/>
                    <a:stretch>
                      <a:fillRect/>
                    </a:stretch>
                  </pic:blipFill>
                  <pic:spPr bwMode="auto">
                    <a:xfrm>
                      <a:off x="0" y="0"/>
                      <a:ext cx="1367155"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Name: Joseph Ferraro</w:t>
      </w:r>
    </w:p>
    <w:p>
      <w:pPr>
        <w:spacing w:after="0"/>
        <w:rPr>
          <w:sz w:val="20"/>
          <w:szCs w:val="20"/>
          <w:color w:val="auto"/>
        </w:rPr>
      </w:pPr>
      <w:r>
        <w:rPr>
          <w:rFonts w:ascii="Times New Roman" w:cs="Times New Roman" w:eastAsia="Times New Roman" w:hAnsi="Times New Roman"/>
          <w:sz w:val="22"/>
          <w:szCs w:val="22"/>
          <w:color w:val="auto"/>
        </w:rPr>
        <w:t>Title: SVP, General Counsel</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9/23/2026</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REGENXBIO INC.</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/s/ Patrick Christmas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wp:posOffset>
            </wp:positionH>
            <wp:positionV relativeFrom="paragraph">
              <wp:posOffset>-13970</wp:posOffset>
            </wp:positionV>
            <wp:extent cx="1595755"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6">
                      <a:extLst>
                        <a:ext uri="{28A0092B-C50C-407E-A947-70E740481C1C}"/>
                      </a:extLst>
                    </a:blip>
                    <a:srcRect/>
                    <a:stretch>
                      <a:fillRect/>
                    </a:stretch>
                  </pic:blipFill>
                  <pic:spPr bwMode="auto">
                    <a:xfrm>
                      <a:off x="0" y="0"/>
                      <a:ext cx="159575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Name: Patrick Christmas</w:t>
      </w:r>
    </w:p>
    <w:p>
      <w:pPr>
        <w:spacing w:after="0" w:line="230" w:lineRule="auto"/>
        <w:rPr>
          <w:sz w:val="20"/>
          <w:szCs w:val="20"/>
          <w:color w:val="auto"/>
        </w:rPr>
      </w:pPr>
      <w:r>
        <w:rPr>
          <w:rFonts w:ascii="Times New Roman" w:cs="Times New Roman" w:eastAsia="Times New Roman" w:hAnsi="Times New Roman"/>
          <w:sz w:val="22"/>
          <w:szCs w:val="22"/>
          <w:color w:val="auto"/>
        </w:rPr>
        <w:t>Title: Chief Legal Officer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9/23/2026</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THE TRUSTEES OF THE UNIVERSITY OF PENNSYLVANIA</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/s/ Wendy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wp:posOffset>
            </wp:positionH>
            <wp:positionV relativeFrom="paragraph">
              <wp:posOffset>-13970</wp:posOffset>
            </wp:positionV>
            <wp:extent cx="1367155"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7">
                      <a:extLst>
                        <a:ext uri="{28A0092B-C50C-407E-A947-70E740481C1C}"/>
                      </a:extLst>
                    </a:blip>
                    <a:srcRect/>
                    <a:stretch>
                      <a:fillRect/>
                    </a:stretch>
                  </pic:blipFill>
                  <pic:spPr bwMode="auto">
                    <a:xfrm>
                      <a:off x="0" y="0"/>
                      <a:ext cx="136715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Name: Wendy White</w:t>
      </w:r>
    </w:p>
    <w:p>
      <w:pPr>
        <w:spacing w:after="0" w:line="233" w:lineRule="auto"/>
        <w:rPr>
          <w:sz w:val="20"/>
          <w:szCs w:val="20"/>
          <w:color w:val="auto"/>
        </w:rPr>
      </w:pPr>
      <w:r>
        <w:rPr>
          <w:rFonts w:ascii="Times New Roman" w:cs="Times New Roman" w:eastAsia="Times New Roman" w:hAnsi="Times New Roman"/>
          <w:sz w:val="22"/>
          <w:szCs w:val="22"/>
          <w:color w:val="auto"/>
        </w:rPr>
        <w:t>Title: Senior Vice President and General Counsel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9/23/2026</w:t>
      </w:r>
    </w:p>
    <w:p>
      <w:pPr>
        <w:spacing w:after="0" w:line="223"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641350</wp:posOffset>
            </wp:positionV>
            <wp:extent cx="715772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59"/>
          </w:cols>
          <w:pgMar w:left="700" w:top="1395" w:right="1440" w:bottom="1440" w:gutter="0" w:footer="0" w:header="0"/>
        </w:sectPr>
      </w:pPr>
    </w:p>
    <w:bookmarkStart w:id="59" w:name="page60"/>
    <w:bookmarkEnd w:id="5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86"/>
          <w:szCs w:val="86"/>
          <w:b w:val="1"/>
          <w:bCs w:val="1"/>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710565</wp:posOffset>
            </wp:positionV>
            <wp:extent cx="7157720"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60" w:name="page61"/>
    <w:bookmarkEnd w:id="60"/>
    <w:p>
      <w:pPr>
        <w:ind w:left="2320"/>
        <w:spacing w:after="0"/>
        <w:rPr>
          <w:sz w:val="20"/>
          <w:szCs w:val="20"/>
          <w:color w:val="auto"/>
        </w:rPr>
      </w:pPr>
      <w:r>
        <w:rPr>
          <w:rFonts w:ascii="Times New Roman" w:cs="Times New Roman" w:eastAsia="Times New Roman" w:hAnsi="Times New Roman"/>
          <w:sz w:val="22"/>
          <w:szCs w:val="22"/>
          <w:b w:val="1"/>
          <w:bCs w:val="1"/>
          <w:color w:val="auto"/>
        </w:rPr>
        <w:t>IN THE UNITED STATES DISTRICT COURT FOR THE</w:t>
      </w:r>
    </w:p>
    <w:p>
      <w:pPr>
        <w:spacing w:after="0" w:line="18"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b w:val="1"/>
          <w:bCs w:val="1"/>
          <w:color w:val="auto"/>
        </w:rPr>
        <w:t>DISTRICT OF DELAWARE</w:t>
      </w:r>
    </w:p>
    <w:p>
      <w:pPr>
        <w:spacing w:after="0" w:line="186" w:lineRule="exact"/>
        <w:rPr>
          <w:sz w:val="20"/>
          <w:szCs w:val="20"/>
          <w:color w:val="auto"/>
        </w:rPr>
      </w:pPr>
    </w:p>
    <w:tbl>
      <w:tblPr>
        <w:tblLayout w:type="fixed"/>
        <w:tblInd w:w="300" w:type="dxa"/>
        <w:tblCellMar>
          <w:top w:w="0" w:type="dxa"/>
          <w:left w:w="0" w:type="dxa"/>
          <w:bottom w:w="0" w:type="dxa"/>
          <w:right w:w="0" w:type="dxa"/>
        </w:tblCellMar>
      </w:tblPr>
      <w:tr>
        <w:trPr>
          <w:trHeight w:val="230"/>
        </w:trPr>
        <w:tc>
          <w:tcPr>
            <w:tcW w:w="4560" w:type="dxa"/>
            <w:vAlign w:val="bottom"/>
          </w:tcPr>
          <w:p>
            <w:pPr>
              <w:spacing w:after="0"/>
              <w:rPr>
                <w:sz w:val="20"/>
                <w:szCs w:val="20"/>
                <w:color w:val="auto"/>
              </w:rPr>
            </w:pPr>
            <w:r>
              <w:rPr>
                <w:rFonts w:ascii="Times New Roman" w:cs="Times New Roman" w:eastAsia="Times New Roman" w:hAnsi="Times New Roman"/>
                <w:sz w:val="20"/>
                <w:szCs w:val="20"/>
                <w:color w:val="auto"/>
              </w:rPr>
              <w:t>REGENXBIO INC. and THE TRUSTEES OF</w:t>
            </w:r>
          </w:p>
        </w:tc>
        <w:tc>
          <w:tcPr>
            <w:tcW w:w="32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4560" w:type="dxa"/>
            <w:vAlign w:val="bottom"/>
          </w:tcPr>
          <w:p>
            <w:pPr>
              <w:spacing w:after="0"/>
              <w:rPr>
                <w:sz w:val="20"/>
                <w:szCs w:val="20"/>
                <w:color w:val="auto"/>
              </w:rPr>
            </w:pPr>
            <w:r>
              <w:rPr>
                <w:rFonts w:ascii="Times New Roman" w:cs="Times New Roman" w:eastAsia="Times New Roman" w:hAnsi="Times New Roman"/>
                <w:sz w:val="20"/>
                <w:szCs w:val="20"/>
                <w:color w:val="auto"/>
              </w:rPr>
              <w:t>THE UNIVERSITY OF PENNSYLVANIA,</w:t>
            </w:r>
          </w:p>
        </w:tc>
        <w:tc>
          <w:tcPr>
            <w:tcW w:w="32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560" w:type="dxa"/>
            <w:vAlign w:val="bottom"/>
            <w:vMerge w:val="restart"/>
          </w:tcPr>
          <w:p>
            <w:pPr>
              <w:jc w:val="center"/>
              <w:ind w:left="600"/>
              <w:spacing w:after="0"/>
              <w:rPr>
                <w:sz w:val="20"/>
                <w:szCs w:val="20"/>
                <w:color w:val="auto"/>
              </w:rPr>
            </w:pPr>
            <w:r>
              <w:rPr>
                <w:rFonts w:ascii="Times New Roman" w:cs="Times New Roman" w:eastAsia="Times New Roman" w:hAnsi="Times New Roman"/>
                <w:sz w:val="20"/>
                <w:szCs w:val="20"/>
                <w:color w:val="auto"/>
                <w:w w:val="99"/>
              </w:rPr>
              <w:t>Plaintiffs,</w:t>
            </w:r>
          </w:p>
        </w:tc>
        <w:tc>
          <w:tcPr>
            <w:tcW w:w="32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560" w:type="dxa"/>
            <w:vAlign w:val="bottom"/>
            <w:vMerge w:val="continue"/>
          </w:tcPr>
          <w:p>
            <w:pPr>
              <w:spacing w:after="0"/>
              <w:rPr>
                <w:sz w:val="19"/>
                <w:szCs w:val="19"/>
                <w:color w:val="auto"/>
              </w:rPr>
            </w:pPr>
          </w:p>
        </w:tc>
        <w:tc>
          <w:tcPr>
            <w:tcW w:w="32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0"/>
        </w:trPr>
        <w:tc>
          <w:tcPr>
            <w:tcW w:w="4560" w:type="dxa"/>
            <w:vAlign w:val="bottom"/>
          </w:tcPr>
          <w:p>
            <w:pPr>
              <w:spacing w:after="0"/>
              <w:rPr>
                <w:sz w:val="19"/>
                <w:szCs w:val="19"/>
                <w:color w:val="auto"/>
              </w:rPr>
            </w:pPr>
          </w:p>
        </w:tc>
        <w:tc>
          <w:tcPr>
            <w:tcW w:w="32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2"/>
        </w:trPr>
        <w:tc>
          <w:tcPr>
            <w:tcW w:w="4560" w:type="dxa"/>
            <w:vAlign w:val="bottom"/>
          </w:tcPr>
          <w:p>
            <w:pPr>
              <w:jc w:val="center"/>
              <w:ind w:left="600"/>
              <w:spacing w:after="0"/>
              <w:rPr>
                <w:sz w:val="20"/>
                <w:szCs w:val="20"/>
                <w:color w:val="auto"/>
              </w:rPr>
            </w:pPr>
            <w:r>
              <w:rPr>
                <w:rFonts w:ascii="Times New Roman" w:cs="Times New Roman" w:eastAsia="Times New Roman" w:hAnsi="Times New Roman"/>
                <w:sz w:val="20"/>
                <w:szCs w:val="20"/>
                <w:color w:val="auto"/>
                <w:w w:val="93"/>
              </w:rPr>
              <w:t>v.</w:t>
            </w:r>
          </w:p>
        </w:tc>
        <w:tc>
          <w:tcPr>
            <w:tcW w:w="322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8"/>
              </w:rPr>
              <w:t>)</w:t>
            </w:r>
            <w:r>
              <w:rPr>
                <w:rFonts w:ascii="Times New Roman" w:cs="Times New Roman" w:eastAsia="Times New Roman" w:hAnsi="Times New Roman"/>
                <w:sz w:val="22"/>
                <w:szCs w:val="22"/>
                <w:color w:val="auto"/>
                <w:w w:val="98"/>
              </w:rPr>
              <w:t>C.A. No. 23-667 (RGA)</w:t>
            </w:r>
          </w:p>
        </w:tc>
        <w:tc>
          <w:tcPr>
            <w:tcW w:w="0" w:type="dxa"/>
            <w:vAlign w:val="bottom"/>
          </w:tcPr>
          <w:p>
            <w:pPr>
              <w:spacing w:after="0"/>
              <w:rPr>
                <w:sz w:val="1"/>
                <w:szCs w:val="1"/>
                <w:color w:val="auto"/>
              </w:rPr>
            </w:pPr>
          </w:p>
        </w:tc>
      </w:tr>
      <w:tr>
        <w:trPr>
          <w:trHeight w:val="230"/>
        </w:trPr>
        <w:tc>
          <w:tcPr>
            <w:tcW w:w="45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SAREPTA THERAPEUTICS, INC., SAREPTA</w:t>
            </w:r>
          </w:p>
        </w:tc>
        <w:tc>
          <w:tcPr>
            <w:tcW w:w="32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4560" w:type="dxa"/>
            <w:vAlign w:val="bottom"/>
            <w:vMerge w:val="continue"/>
          </w:tcPr>
          <w:p>
            <w:pPr>
              <w:spacing w:after="0"/>
              <w:rPr>
                <w:sz w:val="19"/>
                <w:szCs w:val="19"/>
                <w:color w:val="auto"/>
              </w:rPr>
            </w:pPr>
          </w:p>
        </w:tc>
        <w:tc>
          <w:tcPr>
            <w:tcW w:w="32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560" w:type="dxa"/>
            <w:vAlign w:val="bottom"/>
          </w:tcPr>
          <w:p>
            <w:pPr>
              <w:spacing w:after="0"/>
              <w:rPr>
                <w:sz w:val="20"/>
                <w:szCs w:val="20"/>
                <w:color w:val="auto"/>
              </w:rPr>
            </w:pPr>
            <w:r>
              <w:rPr>
                <w:rFonts w:ascii="Times New Roman" w:cs="Times New Roman" w:eastAsia="Times New Roman" w:hAnsi="Times New Roman"/>
                <w:sz w:val="20"/>
                <w:szCs w:val="20"/>
                <w:color w:val="auto"/>
              </w:rPr>
              <w:t>THERAPEUTICS THREE, LLC, and</w:t>
            </w:r>
          </w:p>
        </w:tc>
        <w:tc>
          <w:tcPr>
            <w:tcW w:w="32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4560" w:type="dxa"/>
            <w:vAlign w:val="bottom"/>
          </w:tcPr>
          <w:p>
            <w:pPr>
              <w:spacing w:after="0"/>
              <w:rPr>
                <w:sz w:val="20"/>
                <w:szCs w:val="20"/>
                <w:color w:val="auto"/>
              </w:rPr>
            </w:pPr>
            <w:r>
              <w:rPr>
                <w:rFonts w:ascii="Times New Roman" w:cs="Times New Roman" w:eastAsia="Times New Roman" w:hAnsi="Times New Roman"/>
                <w:sz w:val="20"/>
                <w:szCs w:val="20"/>
                <w:color w:val="auto"/>
              </w:rPr>
              <w:t>CATALENT, INC.,</w:t>
            </w:r>
          </w:p>
        </w:tc>
        <w:tc>
          <w:tcPr>
            <w:tcW w:w="32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4560" w:type="dxa"/>
            <w:vAlign w:val="bottom"/>
            <w:vMerge w:val="restart"/>
          </w:tcPr>
          <w:p>
            <w:pPr>
              <w:jc w:val="center"/>
              <w:ind w:left="580"/>
              <w:spacing w:after="0"/>
              <w:rPr>
                <w:sz w:val="20"/>
                <w:szCs w:val="20"/>
                <w:color w:val="auto"/>
              </w:rPr>
            </w:pPr>
            <w:r>
              <w:rPr>
                <w:rFonts w:ascii="Times New Roman" w:cs="Times New Roman" w:eastAsia="Times New Roman" w:hAnsi="Times New Roman"/>
                <w:sz w:val="22"/>
                <w:szCs w:val="22"/>
                <w:color w:val="auto"/>
                <w:w w:val="98"/>
              </w:rPr>
              <w:t>Defendants.</w:t>
            </w:r>
          </w:p>
        </w:tc>
        <w:tc>
          <w:tcPr>
            <w:tcW w:w="32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8"/>
        </w:trPr>
        <w:tc>
          <w:tcPr>
            <w:tcW w:w="4560" w:type="dxa"/>
            <w:vAlign w:val="bottom"/>
            <w:vMerge w:val="continue"/>
          </w:tcPr>
          <w:p>
            <w:pPr>
              <w:spacing w:after="0"/>
              <w:rPr>
                <w:sz w:val="23"/>
                <w:szCs w:val="23"/>
                <w:color w:val="auto"/>
              </w:rPr>
            </w:pPr>
          </w:p>
        </w:tc>
        <w:tc>
          <w:tcPr>
            <w:tcW w:w="32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STIPULATION OF DISMISSAL</w:t>
      </w:r>
    </w:p>
    <w:p>
      <w:pPr>
        <w:spacing w:after="0" w:line="23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IT IS HEREBY STIPULATED AND AGREED, by and between the parties and pursuant to Rule 41(a)(1) and</w:t>
      </w:r>
    </w:p>
    <w:p>
      <w:pPr>
        <w:spacing w:after="0" w:line="14" w:lineRule="exact"/>
        <w:rPr>
          <w:sz w:val="20"/>
          <w:szCs w:val="20"/>
          <w:color w:val="auto"/>
        </w:rPr>
      </w:pPr>
    </w:p>
    <w:p>
      <w:pPr>
        <w:jc w:val="both"/>
        <w:ind w:left="380" w:right="360" w:firstLine="2"/>
        <w:spacing w:after="0" w:line="230" w:lineRule="auto"/>
        <w:tabs>
          <w:tab w:leader="none" w:pos="728"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the Federal Rules of Civil Procedure, Plaintiffs REGENXBIO Inc. and The Trustees of the University of Pennsylvania and Defendants Sarepta Therapeutics, Inc., Sarepta Therapeutics Three, LLC, and Catalent, Inc. hereby stipulate and agree that the above action, including all claims, counterclaims and affirmative defenses, are dismissed with prejudice. All parties shall bear their own costs and fees incurred in this action.</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66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F</w:t>
            </w:r>
            <w:r>
              <w:rPr>
                <w:rFonts w:ascii="Times New Roman" w:cs="Times New Roman" w:eastAsia="Times New Roman" w:hAnsi="Times New Roman"/>
                <w:sz w:val="14"/>
                <w:szCs w:val="14"/>
                <w:color w:val="auto"/>
              </w:rPr>
              <w:t>ish</w:t>
            </w:r>
            <w:r>
              <w:rPr>
                <w:rFonts w:ascii="Times New Roman" w:cs="Times New Roman" w:eastAsia="Times New Roman" w:hAnsi="Times New Roman"/>
                <w:sz w:val="22"/>
                <w:szCs w:val="22"/>
                <w:color w:val="auto"/>
              </w:rPr>
              <w:t xml:space="preserve"> &amp; R</w:t>
            </w:r>
            <w:r>
              <w:rPr>
                <w:rFonts w:ascii="Times New Roman" w:cs="Times New Roman" w:eastAsia="Times New Roman" w:hAnsi="Times New Roman"/>
                <w:sz w:val="14"/>
                <w:szCs w:val="14"/>
                <w:color w:val="auto"/>
              </w:rPr>
              <w:t>ichardson</w:t>
            </w:r>
            <w:r>
              <w:rPr>
                <w:rFonts w:ascii="Times New Roman" w:cs="Times New Roman" w:eastAsia="Times New Roman" w:hAnsi="Times New Roman"/>
                <w:sz w:val="22"/>
                <w:szCs w:val="22"/>
                <w:color w:val="auto"/>
              </w:rPr>
              <w:t xml:space="preserve"> P.C.</w:t>
            </w:r>
          </w:p>
        </w:tc>
        <w:tc>
          <w:tcPr>
            <w:tcW w:w="55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M</w:t>
            </w:r>
            <w:r>
              <w:rPr>
                <w:rFonts w:ascii="Times New Roman" w:cs="Times New Roman" w:eastAsia="Times New Roman" w:hAnsi="Times New Roman"/>
                <w:sz w:val="14"/>
                <w:szCs w:val="14"/>
                <w:color w:val="auto"/>
              </w:rPr>
              <w:t>organ</w:t>
            </w:r>
            <w:r>
              <w:rPr>
                <w:rFonts w:ascii="Times New Roman" w:cs="Times New Roman" w:eastAsia="Times New Roman" w:hAnsi="Times New Roman"/>
                <w:sz w:val="22"/>
                <w:szCs w:val="22"/>
                <w:color w:val="auto"/>
              </w:rPr>
              <w:t>, L</w:t>
            </w:r>
            <w:r>
              <w:rPr>
                <w:rFonts w:ascii="Times New Roman" w:cs="Times New Roman" w:eastAsia="Times New Roman" w:hAnsi="Times New Roman"/>
                <w:sz w:val="14"/>
                <w:szCs w:val="14"/>
                <w:color w:val="auto"/>
              </w:rPr>
              <w:t>ewis</w:t>
            </w:r>
            <w:r>
              <w:rPr>
                <w:rFonts w:ascii="Times New Roman" w:cs="Times New Roman" w:eastAsia="Times New Roman" w:hAnsi="Times New Roman"/>
                <w:sz w:val="22"/>
                <w:szCs w:val="22"/>
                <w:color w:val="auto"/>
              </w:rPr>
              <w:t xml:space="preserve"> &amp; B</w:t>
            </w:r>
            <w:r>
              <w:rPr>
                <w:rFonts w:ascii="Times New Roman" w:cs="Times New Roman" w:eastAsia="Times New Roman" w:hAnsi="Times New Roman"/>
                <w:sz w:val="14"/>
                <w:szCs w:val="14"/>
                <w:color w:val="auto"/>
              </w:rPr>
              <w:t>ockius</w:t>
            </w:r>
            <w:r>
              <w:rPr>
                <w:rFonts w:ascii="Times New Roman" w:cs="Times New Roman" w:eastAsia="Times New Roman" w:hAnsi="Times New Roman"/>
                <w:sz w:val="22"/>
                <w:szCs w:val="22"/>
                <w:color w:val="auto"/>
              </w:rPr>
              <w:t xml:space="preserve"> LLP</w:t>
            </w:r>
          </w:p>
        </w:tc>
        <w:tc>
          <w:tcPr>
            <w:tcW w:w="0" w:type="dxa"/>
            <w:vAlign w:val="bottom"/>
          </w:tcPr>
          <w:p>
            <w:pPr>
              <w:spacing w:after="0"/>
              <w:rPr>
                <w:sz w:val="1"/>
                <w:szCs w:val="1"/>
                <w:color w:val="auto"/>
              </w:rPr>
            </w:pPr>
          </w:p>
        </w:tc>
      </w:tr>
      <w:tr>
        <w:trPr>
          <w:trHeight w:val="475"/>
        </w:trPr>
        <w:tc>
          <w:tcPr>
            <w:tcW w:w="5660" w:type="dxa"/>
            <w:vAlign w:val="bottom"/>
          </w:tcPr>
          <w:p>
            <w:pPr>
              <w:ind w:left="400"/>
              <w:spacing w:after="0"/>
              <w:rPr>
                <w:sz w:val="20"/>
                <w:szCs w:val="20"/>
                <w:color w:val="auto"/>
              </w:rPr>
            </w:pPr>
            <w:r>
              <w:rPr>
                <w:rFonts w:ascii="Times New Roman" w:cs="Times New Roman" w:eastAsia="Times New Roman" w:hAnsi="Times New Roman"/>
                <w:sz w:val="22"/>
                <w:szCs w:val="22"/>
                <w:i w:val="1"/>
                <w:iCs w:val="1"/>
                <w:color w:val="auto"/>
              </w:rPr>
              <w:t>/s/</w:t>
            </w:r>
          </w:p>
        </w:tc>
        <w:tc>
          <w:tcPr>
            <w:tcW w:w="5580" w:type="dxa"/>
            <w:vAlign w:val="bottom"/>
          </w:tcPr>
          <w:p>
            <w:pPr>
              <w:ind w:left="300"/>
              <w:spacing w:after="0"/>
              <w:rPr>
                <w:sz w:val="20"/>
                <w:szCs w:val="20"/>
                <w:color w:val="auto"/>
              </w:rPr>
            </w:pPr>
            <w:r>
              <w:rPr>
                <w:rFonts w:ascii="Times New Roman" w:cs="Times New Roman" w:eastAsia="Times New Roman" w:hAnsi="Times New Roman"/>
                <w:sz w:val="22"/>
                <w:szCs w:val="22"/>
                <w:i w:val="1"/>
                <w:iCs w:val="1"/>
                <w:color w:val="auto"/>
              </w:rPr>
              <w:t>/s/</w:t>
            </w:r>
          </w:p>
        </w:tc>
        <w:tc>
          <w:tcPr>
            <w:tcW w:w="0" w:type="dxa"/>
            <w:vAlign w:val="bottom"/>
          </w:tcPr>
          <w:p>
            <w:pPr>
              <w:spacing w:after="0"/>
              <w:rPr>
                <w:sz w:val="1"/>
                <w:szCs w:val="1"/>
                <w:color w:val="auto"/>
              </w:rPr>
            </w:pPr>
          </w:p>
        </w:tc>
      </w:tr>
      <w:tr>
        <w:trPr>
          <w:trHeight w:val="460"/>
        </w:trPr>
        <w:tc>
          <w:tcPr>
            <w:tcW w:w="566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Susan E. Morrison (#4690)</w:t>
            </w:r>
          </w:p>
        </w:tc>
        <w:tc>
          <w:tcPr>
            <w:tcW w:w="558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Amy M. Dudash (#5741)</w:t>
            </w:r>
          </w:p>
        </w:tc>
        <w:tc>
          <w:tcPr>
            <w:tcW w:w="0" w:type="dxa"/>
            <w:vAlign w:val="bottom"/>
          </w:tcPr>
          <w:p>
            <w:pPr>
              <w:spacing w:after="0"/>
              <w:rPr>
                <w:sz w:val="1"/>
                <w:szCs w:val="1"/>
                <w:color w:val="auto"/>
              </w:rPr>
            </w:pPr>
          </w:p>
        </w:tc>
      </w:tr>
      <w:tr>
        <w:trPr>
          <w:trHeight w:val="243"/>
        </w:trPr>
        <w:tc>
          <w:tcPr>
            <w:tcW w:w="566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auto"/>
              </w:rPr>
              <w:t>Casey M. Kraning (#6298)</w:t>
            </w:r>
          </w:p>
        </w:tc>
        <w:tc>
          <w:tcPr>
            <w:tcW w:w="558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1201 North Market Street, Suite 2201</w:t>
            </w:r>
          </w:p>
        </w:tc>
        <w:tc>
          <w:tcPr>
            <w:tcW w:w="0" w:type="dxa"/>
            <w:vAlign w:val="bottom"/>
          </w:tcPr>
          <w:p>
            <w:pPr>
              <w:spacing w:after="0"/>
              <w:rPr>
                <w:sz w:val="1"/>
                <w:szCs w:val="1"/>
                <w:color w:val="auto"/>
              </w:rPr>
            </w:pPr>
          </w:p>
        </w:tc>
      </w:tr>
      <w:tr>
        <w:trPr>
          <w:trHeight w:val="243"/>
        </w:trPr>
        <w:tc>
          <w:tcPr>
            <w:tcW w:w="566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auto"/>
              </w:rPr>
              <w:t>222 Delaware Avenue, 17th Floor Wilmington, DE 19801</w:t>
            </w:r>
          </w:p>
        </w:tc>
        <w:tc>
          <w:tcPr>
            <w:tcW w:w="558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Wilmington, DE 19801</w:t>
            </w:r>
          </w:p>
        </w:tc>
        <w:tc>
          <w:tcPr>
            <w:tcW w:w="0" w:type="dxa"/>
            <w:vAlign w:val="bottom"/>
          </w:tcPr>
          <w:p>
            <w:pPr>
              <w:spacing w:after="0"/>
              <w:rPr>
                <w:sz w:val="1"/>
                <w:szCs w:val="1"/>
                <w:color w:val="auto"/>
              </w:rPr>
            </w:pPr>
          </w:p>
        </w:tc>
      </w:tr>
      <w:tr>
        <w:trPr>
          <w:trHeight w:val="243"/>
        </w:trPr>
        <w:tc>
          <w:tcPr>
            <w:tcW w:w="566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auto"/>
              </w:rPr>
              <w:t>(302) 652-5070</w:t>
            </w:r>
          </w:p>
        </w:tc>
        <w:tc>
          <w:tcPr>
            <w:tcW w:w="558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(302) 574-3000</w:t>
            </w:r>
          </w:p>
        </w:tc>
        <w:tc>
          <w:tcPr>
            <w:tcW w:w="0" w:type="dxa"/>
            <w:vAlign w:val="bottom"/>
          </w:tcPr>
          <w:p>
            <w:pPr>
              <w:spacing w:after="0"/>
              <w:rPr>
                <w:sz w:val="1"/>
                <w:szCs w:val="1"/>
                <w:color w:val="auto"/>
              </w:rPr>
            </w:pPr>
          </w:p>
        </w:tc>
      </w:tr>
      <w:tr>
        <w:trPr>
          <w:trHeight w:val="243"/>
        </w:trPr>
        <w:tc>
          <w:tcPr>
            <w:tcW w:w="566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auto"/>
              </w:rPr>
              <w:t>morrison@fr.com</w:t>
            </w:r>
          </w:p>
        </w:tc>
        <w:tc>
          <w:tcPr>
            <w:tcW w:w="558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amy.dudash@morganlewis.com</w:t>
            </w:r>
          </w:p>
        </w:tc>
        <w:tc>
          <w:tcPr>
            <w:tcW w:w="0" w:type="dxa"/>
            <w:vAlign w:val="bottom"/>
          </w:tcPr>
          <w:p>
            <w:pPr>
              <w:spacing w:after="0"/>
              <w:rPr>
                <w:sz w:val="1"/>
                <w:szCs w:val="1"/>
                <w:color w:val="auto"/>
              </w:rPr>
            </w:pPr>
          </w:p>
        </w:tc>
      </w:tr>
      <w:tr>
        <w:trPr>
          <w:trHeight w:val="282"/>
        </w:trPr>
        <w:tc>
          <w:tcPr>
            <w:tcW w:w="566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kraning@fr.com</w:t>
            </w:r>
          </w:p>
        </w:tc>
        <w:tc>
          <w:tcPr>
            <w:tcW w:w="5580" w:type="dxa"/>
            <w:vAlign w:val="bottom"/>
            <w:vMerge w:val="restart"/>
          </w:tcPr>
          <w:p>
            <w:pPr>
              <w:ind w:left="280"/>
              <w:spacing w:after="0"/>
              <w:rPr>
                <w:sz w:val="20"/>
                <w:szCs w:val="20"/>
                <w:color w:val="auto"/>
              </w:rPr>
            </w:pPr>
            <w:r>
              <w:rPr>
                <w:rFonts w:ascii="Times New Roman" w:cs="Times New Roman" w:eastAsia="Times New Roman" w:hAnsi="Times New Roman"/>
                <w:sz w:val="22"/>
                <w:szCs w:val="22"/>
                <w:i w:val="1"/>
                <w:iCs w:val="1"/>
                <w:color w:val="auto"/>
              </w:rPr>
              <w:t>Attorneys for Plaintiff The Trustees of the University of</w:t>
            </w:r>
          </w:p>
        </w:tc>
        <w:tc>
          <w:tcPr>
            <w:tcW w:w="0" w:type="dxa"/>
            <w:vAlign w:val="bottom"/>
          </w:tcPr>
          <w:p>
            <w:pPr>
              <w:spacing w:after="0"/>
              <w:rPr>
                <w:sz w:val="1"/>
                <w:szCs w:val="1"/>
                <w:color w:val="auto"/>
              </w:rPr>
            </w:pPr>
          </w:p>
        </w:tc>
      </w:tr>
      <w:tr>
        <w:trPr>
          <w:trHeight w:val="200"/>
        </w:trPr>
        <w:tc>
          <w:tcPr>
            <w:tcW w:w="5660" w:type="dxa"/>
            <w:vAlign w:val="bottom"/>
          </w:tcPr>
          <w:p>
            <w:pPr>
              <w:spacing w:after="0"/>
              <w:rPr>
                <w:sz w:val="17"/>
                <w:szCs w:val="17"/>
                <w:color w:val="auto"/>
              </w:rPr>
            </w:pPr>
          </w:p>
        </w:tc>
        <w:tc>
          <w:tcPr>
            <w:tcW w:w="55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86"/>
        </w:trPr>
        <w:tc>
          <w:tcPr>
            <w:tcW w:w="5660" w:type="dxa"/>
            <w:vAlign w:val="bottom"/>
          </w:tcPr>
          <w:p>
            <w:pPr>
              <w:ind w:left="360"/>
              <w:spacing w:after="0"/>
              <w:rPr>
                <w:sz w:val="20"/>
                <w:szCs w:val="20"/>
                <w:color w:val="auto"/>
              </w:rPr>
            </w:pPr>
            <w:r>
              <w:rPr>
                <w:rFonts w:ascii="Times New Roman" w:cs="Times New Roman" w:eastAsia="Times New Roman" w:hAnsi="Times New Roman"/>
                <w:sz w:val="22"/>
                <w:szCs w:val="22"/>
                <w:i w:val="1"/>
                <w:iCs w:val="1"/>
                <w:color w:val="auto"/>
              </w:rPr>
              <w:t>Attorneys for Plaintiff REGENXBIO Inc.</w:t>
            </w:r>
          </w:p>
        </w:tc>
        <w:tc>
          <w:tcPr>
            <w:tcW w:w="5580" w:type="dxa"/>
            <w:vAlign w:val="bottom"/>
          </w:tcPr>
          <w:p>
            <w:pPr>
              <w:ind w:left="280"/>
              <w:spacing w:after="0"/>
              <w:rPr>
                <w:sz w:val="20"/>
                <w:szCs w:val="20"/>
                <w:color w:val="auto"/>
              </w:rPr>
            </w:pPr>
            <w:r>
              <w:rPr>
                <w:rFonts w:ascii="Times New Roman" w:cs="Times New Roman" w:eastAsia="Times New Roman" w:hAnsi="Times New Roman"/>
                <w:sz w:val="22"/>
                <w:szCs w:val="22"/>
                <w:i w:val="1"/>
                <w:iCs w:val="1"/>
                <w:color w:val="auto"/>
              </w:rPr>
              <w:t>Pennsylvania</w:t>
            </w:r>
          </w:p>
        </w:tc>
        <w:tc>
          <w:tcPr>
            <w:tcW w:w="0" w:type="dxa"/>
            <w:vAlign w:val="bottom"/>
          </w:tcPr>
          <w:p>
            <w:pPr>
              <w:spacing w:after="0"/>
              <w:rPr>
                <w:sz w:val="1"/>
                <w:szCs w:val="1"/>
                <w:color w:val="auto"/>
              </w:rPr>
            </w:pPr>
          </w:p>
        </w:tc>
      </w:tr>
      <w:tr>
        <w:trPr>
          <w:trHeight w:val="1466"/>
        </w:trPr>
        <w:tc>
          <w:tcPr>
            <w:tcW w:w="5660" w:type="dxa"/>
            <w:vAlign w:val="bottom"/>
            <w:tcBorders>
              <w:bottom w:val="single" w:sz="8" w:color="9A9A9A"/>
            </w:tcBorders>
          </w:tcPr>
          <w:p>
            <w:pPr>
              <w:spacing w:after="0"/>
              <w:rPr>
                <w:sz w:val="24"/>
                <w:szCs w:val="24"/>
                <w:color w:val="auto"/>
              </w:rPr>
            </w:pPr>
          </w:p>
        </w:tc>
        <w:tc>
          <w:tcPr>
            <w:tcW w:w="55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91" w:right="339" w:bottom="1440" w:gutter="0" w:footer="0" w:header="0"/>
        </w:sectPr>
      </w:pPr>
    </w:p>
    <w:bookmarkStart w:id="61" w:name="page62"/>
    <w:bookmarkEnd w:id="61"/>
    <w:p>
      <w:pPr>
        <w:ind w:left="49"/>
        <w:spacing w:after="0"/>
        <w:rPr>
          <w:sz w:val="20"/>
          <w:szCs w:val="20"/>
          <w:color w:val="auto"/>
        </w:rPr>
      </w:pPr>
      <w:r>
        <w:rPr>
          <w:rFonts w:ascii="Times New Roman" w:cs="Times New Roman" w:eastAsia="Times New Roman" w:hAnsi="Times New Roman"/>
          <w:sz w:val="22"/>
          <w:szCs w:val="22"/>
          <w:color w:val="auto"/>
        </w:rPr>
        <w:t>M</w:t>
      </w:r>
      <w:r>
        <w:rPr>
          <w:rFonts w:ascii="Times New Roman" w:cs="Times New Roman" w:eastAsia="Times New Roman" w:hAnsi="Times New Roman"/>
          <w:sz w:val="14"/>
          <w:szCs w:val="14"/>
          <w:color w:val="auto"/>
        </w:rPr>
        <w:t>orris</w:t>
      </w:r>
      <w:r>
        <w:rPr>
          <w:rFonts w:ascii="Times New Roman" w:cs="Times New Roman" w:eastAsia="Times New Roman" w:hAnsi="Times New Roman"/>
          <w:sz w:val="22"/>
          <w:szCs w:val="22"/>
          <w:color w:val="auto"/>
        </w:rPr>
        <w:t>, N</w:t>
      </w:r>
      <w:r>
        <w:rPr>
          <w:rFonts w:ascii="Times New Roman" w:cs="Times New Roman" w:eastAsia="Times New Roman" w:hAnsi="Times New Roman"/>
          <w:sz w:val="14"/>
          <w:szCs w:val="14"/>
          <w:color w:val="auto"/>
        </w:rPr>
        <w:t>ichols</w:t>
      </w:r>
      <w:r>
        <w:rPr>
          <w:rFonts w:ascii="Times New Roman" w:cs="Times New Roman" w:eastAsia="Times New Roman" w:hAnsi="Times New Roman"/>
          <w:sz w:val="22"/>
          <w:szCs w:val="22"/>
          <w:color w:val="auto"/>
        </w:rPr>
        <w:t>, A</w:t>
      </w:r>
      <w:r>
        <w:rPr>
          <w:rFonts w:ascii="Times New Roman" w:cs="Times New Roman" w:eastAsia="Times New Roman" w:hAnsi="Times New Roman"/>
          <w:sz w:val="14"/>
          <w:szCs w:val="14"/>
          <w:color w:val="auto"/>
        </w:rPr>
        <w:t>rsht</w:t>
      </w:r>
      <w:r>
        <w:rPr>
          <w:rFonts w:ascii="Times New Roman" w:cs="Times New Roman" w:eastAsia="Times New Roman" w:hAnsi="Times New Roman"/>
          <w:sz w:val="22"/>
          <w:szCs w:val="22"/>
          <w:color w:val="auto"/>
        </w:rPr>
        <w:t xml:space="preserve"> &amp; T</w:t>
      </w:r>
      <w:r>
        <w:rPr>
          <w:rFonts w:ascii="Times New Roman" w:cs="Times New Roman" w:eastAsia="Times New Roman" w:hAnsi="Times New Roman"/>
          <w:sz w:val="14"/>
          <w:szCs w:val="14"/>
          <w:color w:val="auto"/>
        </w:rPr>
        <w:t>unnell</w:t>
      </w:r>
      <w:r>
        <w:rPr>
          <w:rFonts w:ascii="Times New Roman" w:cs="Times New Roman" w:eastAsia="Times New Roman" w:hAnsi="Times New Roman"/>
          <w:sz w:val="22"/>
          <w:szCs w:val="22"/>
          <w:color w:val="auto"/>
        </w:rPr>
        <w:t xml:space="preserve"> LLP</w:t>
      </w:r>
    </w:p>
    <w:p>
      <w:pPr>
        <w:spacing w:after="0" w:line="229" w:lineRule="exact"/>
        <w:rPr>
          <w:sz w:val="20"/>
          <w:szCs w:val="20"/>
          <w:color w:val="auto"/>
        </w:rPr>
      </w:pPr>
    </w:p>
    <w:p>
      <w:pPr>
        <w:ind w:left="49"/>
        <w:spacing w:after="0"/>
        <w:rPr>
          <w:sz w:val="20"/>
          <w:szCs w:val="20"/>
          <w:color w:val="auto"/>
        </w:rPr>
      </w:pPr>
      <w:r>
        <w:rPr>
          <w:rFonts w:ascii="Times New Roman" w:cs="Times New Roman" w:eastAsia="Times New Roman" w:hAnsi="Times New Roman"/>
          <w:sz w:val="22"/>
          <w:szCs w:val="22"/>
          <w:i w:val="1"/>
          <w:iCs w:val="1"/>
          <w:color w:val="auto"/>
        </w:rPr>
        <w:t>/s/</w:t>
      </w:r>
    </w:p>
    <w:p>
      <w:pPr>
        <w:spacing w:after="0" w:line="251" w:lineRule="exact"/>
        <w:rPr>
          <w:sz w:val="20"/>
          <w:szCs w:val="20"/>
          <w:color w:val="auto"/>
        </w:rPr>
      </w:pPr>
    </w:p>
    <w:p>
      <w:pPr>
        <w:ind w:left="9"/>
        <w:spacing w:after="0"/>
        <w:rPr>
          <w:sz w:val="20"/>
          <w:szCs w:val="20"/>
          <w:color w:val="auto"/>
        </w:rPr>
      </w:pPr>
      <w:r>
        <w:rPr>
          <w:rFonts w:ascii="Times New Roman" w:cs="Times New Roman" w:eastAsia="Times New Roman" w:hAnsi="Times New Roman"/>
          <w:sz w:val="22"/>
          <w:szCs w:val="22"/>
          <w:color w:val="auto"/>
        </w:rPr>
        <w:t>Derek J. Fahnestock (#4705) 1201 North</w:t>
      </w:r>
    </w:p>
    <w:p>
      <w:pPr>
        <w:spacing w:after="0" w:line="4" w:lineRule="exact"/>
        <w:rPr>
          <w:sz w:val="20"/>
          <w:szCs w:val="20"/>
          <w:color w:val="auto"/>
        </w:rPr>
      </w:pPr>
    </w:p>
    <w:p>
      <w:pPr>
        <w:ind w:left="9"/>
        <w:spacing w:after="0"/>
        <w:rPr>
          <w:sz w:val="20"/>
          <w:szCs w:val="20"/>
          <w:color w:val="auto"/>
        </w:rPr>
      </w:pPr>
      <w:r>
        <w:rPr>
          <w:rFonts w:ascii="Times New Roman" w:cs="Times New Roman" w:eastAsia="Times New Roman" w:hAnsi="Times New Roman"/>
          <w:sz w:val="22"/>
          <w:szCs w:val="22"/>
          <w:color w:val="auto"/>
        </w:rPr>
        <w:t>Market Street</w:t>
      </w:r>
    </w:p>
    <w:p>
      <w:pPr>
        <w:ind w:left="9"/>
        <w:spacing w:after="0" w:line="230" w:lineRule="auto"/>
        <w:rPr>
          <w:sz w:val="20"/>
          <w:szCs w:val="20"/>
          <w:color w:val="auto"/>
        </w:rPr>
      </w:pPr>
      <w:r>
        <w:rPr>
          <w:rFonts w:ascii="Times New Roman" w:cs="Times New Roman" w:eastAsia="Times New Roman" w:hAnsi="Times New Roman"/>
          <w:sz w:val="22"/>
          <w:szCs w:val="22"/>
          <w:color w:val="auto"/>
        </w:rPr>
        <w:t>P.O. Box 1347</w:t>
      </w:r>
    </w:p>
    <w:p>
      <w:pPr>
        <w:spacing w:after="0" w:line="1" w:lineRule="exact"/>
        <w:rPr>
          <w:sz w:val="20"/>
          <w:szCs w:val="20"/>
          <w:color w:val="auto"/>
        </w:rPr>
      </w:pPr>
    </w:p>
    <w:p>
      <w:pPr>
        <w:ind w:left="9"/>
        <w:spacing w:after="0"/>
        <w:rPr>
          <w:sz w:val="20"/>
          <w:szCs w:val="20"/>
          <w:color w:val="auto"/>
        </w:rPr>
      </w:pPr>
      <w:r>
        <w:rPr>
          <w:rFonts w:ascii="Times New Roman" w:cs="Times New Roman" w:eastAsia="Times New Roman" w:hAnsi="Times New Roman"/>
          <w:sz w:val="22"/>
          <w:szCs w:val="22"/>
          <w:color w:val="auto"/>
        </w:rPr>
        <w:t>Wilmington, DE 19899</w:t>
      </w:r>
    </w:p>
    <w:p>
      <w:pPr>
        <w:spacing w:after="0" w:line="4" w:lineRule="exact"/>
        <w:rPr>
          <w:sz w:val="20"/>
          <w:szCs w:val="20"/>
          <w:color w:val="auto"/>
        </w:rPr>
      </w:pPr>
    </w:p>
    <w:p>
      <w:pPr>
        <w:ind w:left="9" w:right="6119" w:hanging="9"/>
        <w:spacing w:after="0" w:line="235" w:lineRule="auto"/>
        <w:tabs>
          <w:tab w:leader="none" w:pos="53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658-9200 dfahnestock@mnat.com </w:t>
      </w:r>
      <w:r>
        <w:rPr>
          <w:rFonts w:ascii="Times New Roman" w:cs="Times New Roman" w:eastAsia="Times New Roman" w:hAnsi="Times New Roman"/>
          <w:sz w:val="22"/>
          <w:szCs w:val="22"/>
          <w:i w:val="1"/>
          <w:iCs w:val="1"/>
          <w:color w:val="auto"/>
        </w:rPr>
        <w:t>Attorneys for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Defendants </w:t>
      </w:r>
      <w:r>
        <w:rPr>
          <w:rFonts w:ascii="Times New Roman" w:cs="Times New Roman" w:eastAsia="Times New Roman" w:hAnsi="Times New Roman"/>
          <w:sz w:val="22"/>
          <w:szCs w:val="22"/>
          <w:color w:val="auto"/>
        </w:rPr>
        <w:t>September , 2026</w:t>
      </w:r>
    </w:p>
    <w:p>
      <w:pPr>
        <w:spacing w:after="0" w:line="97" w:lineRule="exact"/>
        <w:rPr>
          <w:sz w:val="20"/>
          <w:szCs w:val="20"/>
          <w:color w:val="auto"/>
        </w:rPr>
      </w:pPr>
    </w:p>
    <w:p>
      <w:pPr>
        <w:ind w:left="3189"/>
        <w:spacing w:after="0"/>
        <w:tabs>
          <w:tab w:leader="none" w:pos="5368" w:val="left"/>
        </w:tabs>
        <w:rPr>
          <w:sz w:val="20"/>
          <w:szCs w:val="20"/>
          <w:color w:val="auto"/>
        </w:rPr>
      </w:pPr>
      <w:r>
        <w:rPr>
          <w:rFonts w:ascii="Times New Roman" w:cs="Times New Roman" w:eastAsia="Times New Roman" w:hAnsi="Times New Roman"/>
          <w:sz w:val="22"/>
          <w:szCs w:val="22"/>
          <w:color w:val="auto"/>
        </w:rPr>
        <w:t>SO ORDERED, this</w:t>
      </w:r>
      <w:r>
        <w:rPr>
          <w:sz w:val="20"/>
          <w:szCs w:val="20"/>
          <w:color w:val="auto"/>
        </w:rPr>
        <w:tab/>
      </w:r>
      <w:r>
        <w:rPr>
          <w:rFonts w:ascii="Times New Roman" w:cs="Times New Roman" w:eastAsia="Times New Roman" w:hAnsi="Times New Roman"/>
          <w:sz w:val="22"/>
          <w:szCs w:val="22"/>
          <w:color w:val="auto"/>
        </w:rPr>
        <w:t>day of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3179445</wp:posOffset>
            </wp:positionH>
            <wp:positionV relativeFrom="paragraph">
              <wp:posOffset>-13970</wp:posOffset>
            </wp:positionV>
            <wp:extent cx="212725"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12">
                      <a:extLst>
                        <a:ext uri="{28A0092B-C50C-407E-A947-70E740481C1C}"/>
                      </a:extLst>
                    </a:blip>
                    <a:srcRect/>
                    <a:stretch>
                      <a:fillRect/>
                    </a:stretch>
                  </pic:blipFill>
                  <pic:spPr bwMode="auto">
                    <a:xfrm>
                      <a:off x="0" y="0"/>
                      <a:ext cx="2127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right"/>
        <w:ind w:right="2479"/>
        <w:spacing w:after="0"/>
        <w:rPr>
          <w:sz w:val="20"/>
          <w:szCs w:val="20"/>
          <w:color w:val="auto"/>
        </w:rPr>
      </w:pPr>
      <w:r>
        <w:rPr>
          <w:rFonts w:ascii="Times New Roman" w:cs="Times New Roman" w:eastAsia="Times New Roman" w:hAnsi="Times New Roman"/>
          <w:sz w:val="22"/>
          <w:szCs w:val="22"/>
          <w:color w:val="auto"/>
        </w:rPr>
        <w:t>United States District Judge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-471170</wp:posOffset>
            </wp:positionH>
            <wp:positionV relativeFrom="paragraph">
              <wp:posOffset>649605</wp:posOffset>
            </wp:positionV>
            <wp:extent cx="7157720"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408"/>
          </w:cols>
          <w:pgMar w:left="1051" w:top="1395" w:right="1440" w:bottom="1440" w:gutter="0" w:footer="0" w:header="0"/>
        </w:sectPr>
      </w:pPr>
    </w:p>
    <w:bookmarkStart w:id="62" w:name="page63"/>
    <w:bookmarkEnd w:id="6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86"/>
          <w:szCs w:val="86"/>
          <w:b w:val="1"/>
          <w:bCs w:val="1"/>
          <w:color w:val="auto"/>
        </w:rPr>
        <w:t>EXHIBIT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710565</wp:posOffset>
            </wp:positionV>
            <wp:extent cx="7157720"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63" w:name="page64"/>
    <w:bookmarkEnd w:id="63"/>
    <w:p>
      <w:pPr>
        <w:ind w:left="2400"/>
        <w:spacing w:after="0"/>
        <w:rPr>
          <w:sz w:val="20"/>
          <w:szCs w:val="20"/>
          <w:color w:val="auto"/>
        </w:rPr>
      </w:pPr>
      <w:r>
        <w:rPr>
          <w:rFonts w:ascii="Times New Roman" w:cs="Times New Roman" w:eastAsia="Times New Roman" w:hAnsi="Times New Roman"/>
          <w:sz w:val="22"/>
          <w:szCs w:val="22"/>
          <w:b w:val="1"/>
          <w:bCs w:val="1"/>
          <w:color w:val="auto"/>
        </w:rPr>
        <w:t>IN THE UNITED STATES DISTRICT COURT FOR THE</w:t>
      </w:r>
    </w:p>
    <w:p>
      <w:pPr>
        <w:spacing w:after="0" w:line="1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b w:val="1"/>
          <w:bCs w:val="1"/>
          <w:color w:val="auto"/>
        </w:rPr>
        <w:t>DISTRICT OF DELAWARE</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80" w:type="dxa"/>
            <w:vAlign w:val="bottom"/>
          </w:tcPr>
          <w:p>
            <w:pPr>
              <w:spacing w:after="0"/>
              <w:rPr>
                <w:sz w:val="20"/>
                <w:szCs w:val="20"/>
                <w:color w:val="auto"/>
              </w:rPr>
            </w:pPr>
            <w:r>
              <w:rPr>
                <w:rFonts w:ascii="Times New Roman" w:cs="Times New Roman" w:eastAsia="Times New Roman" w:hAnsi="Times New Roman"/>
                <w:sz w:val="20"/>
                <w:szCs w:val="20"/>
                <w:color w:val="auto"/>
              </w:rPr>
              <w:t>REGENXBIO INC. and THE TRUSTEES OF</w:t>
            </w:r>
          </w:p>
        </w:tc>
        <w:tc>
          <w:tcPr>
            <w:tcW w:w="34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4480" w:type="dxa"/>
            <w:vAlign w:val="bottom"/>
          </w:tcPr>
          <w:p>
            <w:pPr>
              <w:spacing w:after="0"/>
              <w:rPr>
                <w:sz w:val="20"/>
                <w:szCs w:val="20"/>
                <w:color w:val="auto"/>
              </w:rPr>
            </w:pPr>
            <w:r>
              <w:rPr>
                <w:rFonts w:ascii="Times New Roman" w:cs="Times New Roman" w:eastAsia="Times New Roman" w:hAnsi="Times New Roman"/>
                <w:sz w:val="20"/>
                <w:szCs w:val="20"/>
                <w:color w:val="auto"/>
              </w:rPr>
              <w:t>THE UNIVERSITY OF PENNSYLVANIA,</w:t>
            </w:r>
          </w:p>
        </w:tc>
        <w:tc>
          <w:tcPr>
            <w:tcW w:w="34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480" w:type="dxa"/>
            <w:vAlign w:val="bottom"/>
            <w:vMerge w:val="restart"/>
          </w:tcPr>
          <w:p>
            <w:pPr>
              <w:jc w:val="center"/>
              <w:ind w:left="680"/>
              <w:spacing w:after="0"/>
              <w:rPr>
                <w:sz w:val="20"/>
                <w:szCs w:val="20"/>
                <w:color w:val="auto"/>
              </w:rPr>
            </w:pPr>
            <w:r>
              <w:rPr>
                <w:rFonts w:ascii="Times New Roman" w:cs="Times New Roman" w:eastAsia="Times New Roman" w:hAnsi="Times New Roman"/>
                <w:sz w:val="20"/>
                <w:szCs w:val="20"/>
                <w:color w:val="auto"/>
                <w:w w:val="99"/>
              </w:rPr>
              <w:t>Plaintiffs,</w:t>
            </w:r>
          </w:p>
        </w:tc>
        <w:tc>
          <w:tcPr>
            <w:tcW w:w="34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480" w:type="dxa"/>
            <w:vAlign w:val="bottom"/>
            <w:vMerge w:val="continue"/>
          </w:tcPr>
          <w:p>
            <w:pPr>
              <w:spacing w:after="0"/>
              <w:rPr>
                <w:sz w:val="19"/>
                <w:szCs w:val="19"/>
                <w:color w:val="auto"/>
              </w:rPr>
            </w:pPr>
          </w:p>
        </w:tc>
        <w:tc>
          <w:tcPr>
            <w:tcW w:w="34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0"/>
        </w:trPr>
        <w:tc>
          <w:tcPr>
            <w:tcW w:w="4480" w:type="dxa"/>
            <w:vAlign w:val="bottom"/>
          </w:tcPr>
          <w:p>
            <w:pPr>
              <w:spacing w:after="0"/>
              <w:rPr>
                <w:sz w:val="19"/>
                <w:szCs w:val="19"/>
                <w:color w:val="auto"/>
              </w:rPr>
            </w:pPr>
          </w:p>
        </w:tc>
        <w:tc>
          <w:tcPr>
            <w:tcW w:w="34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2"/>
        </w:trPr>
        <w:tc>
          <w:tcPr>
            <w:tcW w:w="4480" w:type="dxa"/>
            <w:vAlign w:val="bottom"/>
          </w:tcPr>
          <w:p>
            <w:pPr>
              <w:jc w:val="center"/>
              <w:ind w:left="680"/>
              <w:spacing w:after="0"/>
              <w:rPr>
                <w:sz w:val="20"/>
                <w:szCs w:val="20"/>
                <w:color w:val="auto"/>
              </w:rPr>
            </w:pPr>
            <w:r>
              <w:rPr>
                <w:rFonts w:ascii="Times New Roman" w:cs="Times New Roman" w:eastAsia="Times New Roman" w:hAnsi="Times New Roman"/>
                <w:sz w:val="20"/>
                <w:szCs w:val="20"/>
                <w:color w:val="auto"/>
                <w:w w:val="93"/>
              </w:rPr>
              <w:t>v.</w:t>
            </w:r>
          </w:p>
        </w:tc>
        <w:tc>
          <w:tcPr>
            <w:tcW w:w="342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98"/>
              </w:rPr>
              <w:t>)</w:t>
            </w:r>
            <w:r>
              <w:rPr>
                <w:rFonts w:ascii="Times New Roman" w:cs="Times New Roman" w:eastAsia="Times New Roman" w:hAnsi="Times New Roman"/>
                <w:sz w:val="22"/>
                <w:szCs w:val="22"/>
                <w:color w:val="auto"/>
                <w:w w:val="98"/>
              </w:rPr>
              <w:t>C.A. No. 20-1226 (RGA)</w:t>
            </w:r>
          </w:p>
        </w:tc>
        <w:tc>
          <w:tcPr>
            <w:tcW w:w="0" w:type="dxa"/>
            <w:vAlign w:val="bottom"/>
          </w:tcPr>
          <w:p>
            <w:pPr>
              <w:spacing w:after="0"/>
              <w:rPr>
                <w:sz w:val="1"/>
                <w:szCs w:val="1"/>
                <w:color w:val="auto"/>
              </w:rPr>
            </w:pPr>
          </w:p>
        </w:tc>
      </w:tr>
      <w:tr>
        <w:trPr>
          <w:trHeight w:val="229"/>
        </w:trPr>
        <w:tc>
          <w:tcPr>
            <w:tcW w:w="44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SAREPTA THERAPEUTICS, INC. and</w:t>
            </w:r>
          </w:p>
        </w:tc>
        <w:tc>
          <w:tcPr>
            <w:tcW w:w="34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4480" w:type="dxa"/>
            <w:vAlign w:val="bottom"/>
            <w:vMerge w:val="continue"/>
          </w:tcPr>
          <w:p>
            <w:pPr>
              <w:spacing w:after="0"/>
              <w:rPr>
                <w:sz w:val="19"/>
                <w:szCs w:val="19"/>
                <w:color w:val="auto"/>
              </w:rPr>
            </w:pPr>
          </w:p>
        </w:tc>
        <w:tc>
          <w:tcPr>
            <w:tcW w:w="34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4480" w:type="dxa"/>
            <w:vAlign w:val="bottom"/>
          </w:tcPr>
          <w:p>
            <w:pPr>
              <w:spacing w:after="0"/>
              <w:rPr>
                <w:sz w:val="20"/>
                <w:szCs w:val="20"/>
                <w:color w:val="auto"/>
              </w:rPr>
            </w:pPr>
            <w:r>
              <w:rPr>
                <w:rFonts w:ascii="Times New Roman" w:cs="Times New Roman" w:eastAsia="Times New Roman" w:hAnsi="Times New Roman"/>
                <w:sz w:val="20"/>
                <w:szCs w:val="20"/>
                <w:color w:val="auto"/>
              </w:rPr>
              <w:t>SAREPTA THERAPEUTICS THREE, LLC,</w:t>
            </w:r>
          </w:p>
        </w:tc>
        <w:tc>
          <w:tcPr>
            <w:tcW w:w="34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480" w:type="dxa"/>
            <w:vAlign w:val="bottom"/>
          </w:tcPr>
          <w:p>
            <w:pPr>
              <w:spacing w:after="0"/>
              <w:rPr>
                <w:sz w:val="19"/>
                <w:szCs w:val="19"/>
                <w:color w:val="auto"/>
              </w:rPr>
            </w:pPr>
          </w:p>
        </w:tc>
        <w:tc>
          <w:tcPr>
            <w:tcW w:w="34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480" w:type="dxa"/>
            <w:vAlign w:val="bottom"/>
            <w:vMerge w:val="restart"/>
          </w:tcPr>
          <w:p>
            <w:pPr>
              <w:jc w:val="center"/>
              <w:ind w:left="660"/>
              <w:spacing w:after="0"/>
              <w:rPr>
                <w:sz w:val="20"/>
                <w:szCs w:val="20"/>
                <w:color w:val="auto"/>
              </w:rPr>
            </w:pPr>
            <w:r>
              <w:rPr>
                <w:rFonts w:ascii="Times New Roman" w:cs="Times New Roman" w:eastAsia="Times New Roman" w:hAnsi="Times New Roman"/>
                <w:sz w:val="22"/>
                <w:szCs w:val="22"/>
                <w:color w:val="auto"/>
                <w:w w:val="98"/>
              </w:rPr>
              <w:t>Defendants.</w:t>
            </w:r>
          </w:p>
        </w:tc>
        <w:tc>
          <w:tcPr>
            <w:tcW w:w="34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3"/>
        </w:trPr>
        <w:tc>
          <w:tcPr>
            <w:tcW w:w="4480" w:type="dxa"/>
            <w:vAlign w:val="bottom"/>
            <w:vMerge w:val="continue"/>
          </w:tcPr>
          <w:p>
            <w:pPr>
              <w:spacing w:after="0"/>
              <w:rPr>
                <w:sz w:val="23"/>
                <w:szCs w:val="23"/>
                <w:color w:val="auto"/>
              </w:rPr>
            </w:pPr>
          </w:p>
        </w:tc>
        <w:tc>
          <w:tcPr>
            <w:tcW w:w="34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u w:val="single" w:color="auto"/>
          <w:color w:val="auto"/>
        </w:rPr>
        <w:t>STIPULATION OF DISMISSAL</w:t>
      </w:r>
    </w:p>
    <w:p>
      <w:pPr>
        <w:spacing w:after="0" w:line="25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1"/>
          <w:szCs w:val="21"/>
          <w:color w:val="auto"/>
        </w:rPr>
        <w:t>IT IS HEREBY STIPULATED AND AGREED, by and between the parties and pursuant to Rule 41(a)(1) and</w:t>
      </w:r>
    </w:p>
    <w:p>
      <w:pPr>
        <w:spacing w:after="0" w:line="26" w:lineRule="exact"/>
        <w:rPr>
          <w:sz w:val="20"/>
          <w:szCs w:val="20"/>
          <w:color w:val="auto"/>
        </w:rPr>
      </w:pPr>
    </w:p>
    <w:p>
      <w:pPr>
        <w:jc w:val="both"/>
        <w:ind w:left="80" w:firstLine="2"/>
        <w:spacing w:after="0" w:line="230" w:lineRule="auto"/>
        <w:tabs>
          <w:tab w:leader="none" w:pos="428"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the Federal Rules of Civil Procedure, Plaintiffs REGENXBIO Inc. and The Trustees of the University of Pennsylvania and Defendants Sarepta Therapeutics, Inc. and Sarepta Therapeutics Three, LLC hereby stipulate and agree that the above action, including all claims, counterclaims and affirmative defenses, are dismissed with prejudice. All parties shall bear their own costs and fees incurred in this action.</w:t>
      </w:r>
    </w:p>
    <w:p>
      <w:pPr>
        <w:spacing w:after="0" w:line="2" w:lineRule="exact"/>
        <w:rPr>
          <w:sz w:val="20"/>
          <w:szCs w:val="20"/>
          <w:color w:val="auto"/>
        </w:rPr>
      </w:pPr>
    </w:p>
    <w:p>
      <w:pPr>
        <w:ind w:left="100"/>
        <w:spacing w:after="0"/>
        <w:tabs>
          <w:tab w:leader="none" w:pos="5640" w:val="left"/>
        </w:tabs>
        <w:rPr>
          <w:sz w:val="20"/>
          <w:szCs w:val="20"/>
          <w:color w:val="auto"/>
        </w:rPr>
      </w:pPr>
      <w:r>
        <w:rPr>
          <w:rFonts w:ascii="Times New Roman" w:cs="Times New Roman" w:eastAsia="Times New Roman" w:hAnsi="Times New Roman"/>
          <w:sz w:val="22"/>
          <w:szCs w:val="22"/>
          <w:color w:val="auto"/>
        </w:rPr>
        <w:t>F</w:t>
      </w:r>
      <w:r>
        <w:rPr>
          <w:rFonts w:ascii="Times New Roman" w:cs="Times New Roman" w:eastAsia="Times New Roman" w:hAnsi="Times New Roman"/>
          <w:sz w:val="14"/>
          <w:szCs w:val="14"/>
          <w:color w:val="auto"/>
        </w:rPr>
        <w:t>ish</w:t>
      </w:r>
      <w:r>
        <w:rPr>
          <w:rFonts w:ascii="Times New Roman" w:cs="Times New Roman" w:eastAsia="Times New Roman" w:hAnsi="Times New Roman"/>
          <w:sz w:val="22"/>
          <w:szCs w:val="22"/>
          <w:color w:val="auto"/>
        </w:rPr>
        <w:t xml:space="preserve"> &amp; R</w:t>
      </w:r>
      <w:r>
        <w:rPr>
          <w:rFonts w:ascii="Times New Roman" w:cs="Times New Roman" w:eastAsia="Times New Roman" w:hAnsi="Times New Roman"/>
          <w:sz w:val="14"/>
          <w:szCs w:val="14"/>
          <w:color w:val="auto"/>
        </w:rPr>
        <w:t>ichardson</w:t>
      </w:r>
      <w:r>
        <w:rPr>
          <w:rFonts w:ascii="Times New Roman" w:cs="Times New Roman" w:eastAsia="Times New Roman" w:hAnsi="Times New Roman"/>
          <w:sz w:val="22"/>
          <w:szCs w:val="22"/>
          <w:color w:val="auto"/>
        </w:rPr>
        <w:t xml:space="preserve"> P.C.</w:t>
      </w:r>
      <w:r>
        <w:rPr>
          <w:sz w:val="20"/>
          <w:szCs w:val="20"/>
          <w:color w:val="auto"/>
        </w:rPr>
        <w:tab/>
      </w:r>
      <w:r>
        <w:rPr>
          <w:rFonts w:ascii="Times New Roman" w:cs="Times New Roman" w:eastAsia="Times New Roman" w:hAnsi="Times New Roman"/>
          <w:sz w:val="22"/>
          <w:szCs w:val="22"/>
          <w:color w:val="auto"/>
        </w:rPr>
        <w:t>M</w:t>
      </w:r>
      <w:r>
        <w:rPr>
          <w:rFonts w:ascii="Times New Roman" w:cs="Times New Roman" w:eastAsia="Times New Roman" w:hAnsi="Times New Roman"/>
          <w:sz w:val="14"/>
          <w:szCs w:val="14"/>
          <w:color w:val="auto"/>
        </w:rPr>
        <w:t>organ</w:t>
      </w:r>
      <w:r>
        <w:rPr>
          <w:rFonts w:ascii="Times New Roman" w:cs="Times New Roman" w:eastAsia="Times New Roman" w:hAnsi="Times New Roman"/>
          <w:sz w:val="22"/>
          <w:szCs w:val="22"/>
          <w:color w:val="auto"/>
        </w:rPr>
        <w:t>, L</w:t>
      </w:r>
      <w:r>
        <w:rPr>
          <w:rFonts w:ascii="Times New Roman" w:cs="Times New Roman" w:eastAsia="Times New Roman" w:hAnsi="Times New Roman"/>
          <w:sz w:val="14"/>
          <w:szCs w:val="14"/>
          <w:color w:val="auto"/>
        </w:rPr>
        <w:t>ewis</w:t>
      </w:r>
      <w:r>
        <w:rPr>
          <w:rFonts w:ascii="Times New Roman" w:cs="Times New Roman" w:eastAsia="Times New Roman" w:hAnsi="Times New Roman"/>
          <w:sz w:val="22"/>
          <w:szCs w:val="22"/>
          <w:color w:val="auto"/>
        </w:rPr>
        <w:t xml:space="preserve"> &amp; B</w:t>
      </w:r>
      <w:r>
        <w:rPr>
          <w:rFonts w:ascii="Times New Roman" w:cs="Times New Roman" w:eastAsia="Times New Roman" w:hAnsi="Times New Roman"/>
          <w:sz w:val="14"/>
          <w:szCs w:val="14"/>
          <w:color w:val="auto"/>
        </w:rPr>
        <w:t>ockius</w:t>
      </w:r>
      <w:r>
        <w:rPr>
          <w:rFonts w:ascii="Times New Roman" w:cs="Times New Roman" w:eastAsia="Times New Roman" w:hAnsi="Times New Roman"/>
          <w:sz w:val="22"/>
          <w:szCs w:val="22"/>
          <w:color w:val="auto"/>
        </w:rPr>
        <w:t xml:space="preserve"> LLP</w:t>
      </w:r>
    </w:p>
    <w:p>
      <w:pPr>
        <w:sectPr>
          <w:pgSz w:w="11900" w:h="16838" w:orient="portrait"/>
          <w:cols w:equalWidth="0" w:num="1">
            <w:col w:w="10580"/>
          </w:cols>
          <w:pgMar w:left="620" w:top="1391" w:right="699" w:bottom="1440" w:gutter="0" w:footer="0" w:header="0"/>
        </w:sectPr>
      </w:pPr>
    </w:p>
    <w:p>
      <w:pPr>
        <w:spacing w:after="0" w:line="21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i w:val="1"/>
          <w:iCs w:val="1"/>
          <w:color w:val="auto"/>
        </w:rPr>
        <w:t>/s/</w:t>
      </w:r>
    </w:p>
    <w:p>
      <w:pPr>
        <w:spacing w:after="0" w:line="23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Susan E. Morrison (#4690)</w:t>
      </w:r>
    </w:p>
    <w:p>
      <w:pPr>
        <w:spacing w:after="0" w:line="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Casey M. Kraning (#6298)</w:t>
      </w:r>
    </w:p>
    <w:p>
      <w:pPr>
        <w:ind w:left="60"/>
        <w:spacing w:after="0"/>
        <w:rPr>
          <w:sz w:val="20"/>
          <w:szCs w:val="20"/>
          <w:color w:val="auto"/>
        </w:rPr>
      </w:pPr>
      <w:r>
        <w:rPr>
          <w:rFonts w:ascii="Times New Roman" w:cs="Times New Roman" w:eastAsia="Times New Roman" w:hAnsi="Times New Roman"/>
          <w:sz w:val="21"/>
          <w:szCs w:val="21"/>
          <w:color w:val="auto"/>
        </w:rPr>
        <w:t>222 Delaware Avenue, 17th Floor Wilmington, DE 19801</w:t>
      </w:r>
    </w:p>
    <w:p>
      <w:pPr>
        <w:spacing w:after="0" w:line="2" w:lineRule="exact"/>
        <w:rPr>
          <w:sz w:val="20"/>
          <w:szCs w:val="20"/>
          <w:color w:val="auto"/>
        </w:rPr>
      </w:pPr>
    </w:p>
    <w:p>
      <w:pPr>
        <w:ind w:left="60" w:right="3480" w:firstLine="9"/>
        <w:spacing w:after="0" w:line="249" w:lineRule="auto"/>
        <w:tabs>
          <w:tab w:leader="none" w:pos="582"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652-5070 morrison@fr.com kraning@fr.com</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i w:val="1"/>
          <w:iCs w:val="1"/>
          <w:color w:val="auto"/>
        </w:rPr>
        <w:t>Attorneys for Plaintiff REGENXBIO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926465</wp:posOffset>
            </wp:positionV>
            <wp:extent cx="7157720"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ind w:left="30"/>
        <w:spacing w:after="0"/>
        <w:rPr>
          <w:sz w:val="20"/>
          <w:szCs w:val="20"/>
          <w:color w:val="auto"/>
        </w:rPr>
      </w:pPr>
      <w:r>
        <w:rPr>
          <w:rFonts w:ascii="Times New Roman" w:cs="Times New Roman" w:eastAsia="Times New Roman" w:hAnsi="Times New Roman"/>
          <w:sz w:val="22"/>
          <w:szCs w:val="22"/>
          <w:i w:val="1"/>
          <w:iCs w:val="1"/>
          <w:color w:val="auto"/>
        </w:rPr>
        <w:t>/s/</w:t>
      </w:r>
    </w:p>
    <w:p>
      <w:pPr>
        <w:spacing w:after="0" w:line="23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2"/>
          <w:szCs w:val="22"/>
          <w:color w:val="auto"/>
        </w:rPr>
        <w:t>Amy M. Dudash (#5741)</w:t>
      </w:r>
    </w:p>
    <w:p>
      <w:pPr>
        <w:spacing w:after="0" w:line="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2"/>
          <w:szCs w:val="22"/>
          <w:color w:val="auto"/>
        </w:rPr>
        <w:t>1201 North Market Street, Suite 2201</w:t>
      </w:r>
    </w:p>
    <w:p>
      <w:pPr>
        <w:ind w:left="10"/>
        <w:spacing w:after="0" w:line="230" w:lineRule="auto"/>
        <w:rPr>
          <w:sz w:val="20"/>
          <w:szCs w:val="20"/>
          <w:color w:val="auto"/>
        </w:rPr>
      </w:pPr>
      <w:r>
        <w:rPr>
          <w:rFonts w:ascii="Times New Roman" w:cs="Times New Roman" w:eastAsia="Times New Roman" w:hAnsi="Times New Roman"/>
          <w:sz w:val="22"/>
          <w:szCs w:val="22"/>
          <w:color w:val="auto"/>
        </w:rPr>
        <w:t>Wilmington, DE 19801</w:t>
      </w:r>
    </w:p>
    <w:p>
      <w:pPr>
        <w:spacing w:after="0" w:line="1" w:lineRule="exact"/>
        <w:rPr>
          <w:sz w:val="20"/>
          <w:szCs w:val="20"/>
          <w:color w:val="auto"/>
        </w:rPr>
      </w:pPr>
    </w:p>
    <w:p>
      <w:pPr>
        <w:ind w:left="10" w:right="2180" w:hanging="10"/>
        <w:spacing w:after="0" w:line="258" w:lineRule="auto"/>
        <w:tabs>
          <w:tab w:leader="none" w:pos="532"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574-3000 amy.dudash@morganlewis.com</w:t>
      </w:r>
    </w:p>
    <w:p>
      <w:pPr>
        <w:spacing w:after="0" w:line="182" w:lineRule="exact"/>
        <w:rPr>
          <w:sz w:val="20"/>
          <w:szCs w:val="20"/>
          <w:color w:val="auto"/>
        </w:rPr>
      </w:pPr>
    </w:p>
    <w:p>
      <w:pPr>
        <w:ind w:left="10" w:right="180"/>
        <w:spacing w:after="0" w:line="262" w:lineRule="auto"/>
        <w:rPr>
          <w:sz w:val="20"/>
          <w:szCs w:val="20"/>
          <w:color w:val="auto"/>
        </w:rPr>
      </w:pPr>
      <w:r>
        <w:rPr>
          <w:rFonts w:ascii="Times New Roman" w:cs="Times New Roman" w:eastAsia="Times New Roman" w:hAnsi="Times New Roman"/>
          <w:sz w:val="22"/>
          <w:szCs w:val="22"/>
          <w:i w:val="1"/>
          <w:iCs w:val="1"/>
          <w:color w:val="auto"/>
        </w:rPr>
        <w:t>Attorneys for Plaintiff The Trustees of the University of Pennsylvania</w:t>
      </w:r>
    </w:p>
    <w:p>
      <w:pPr>
        <w:sectPr>
          <w:pgSz w:w="11900" w:h="16838" w:orient="portrait"/>
          <w:cols w:equalWidth="0" w:num="2">
            <w:col w:w="5100" w:space="530"/>
            <w:col w:w="4950"/>
          </w:cols>
          <w:pgMar w:left="620" w:top="1391" w:right="699" w:bottom="1440" w:gutter="0" w:footer="0" w:header="0"/>
          <w:type w:val="continuous"/>
        </w:sectPr>
      </w:pPr>
    </w:p>
    <w:bookmarkStart w:id="64" w:name="page65"/>
    <w:bookmarkEnd w:id="64"/>
    <w:p>
      <w:pPr>
        <w:ind w:left="49"/>
        <w:spacing w:after="0"/>
        <w:rPr>
          <w:sz w:val="20"/>
          <w:szCs w:val="20"/>
          <w:color w:val="auto"/>
        </w:rPr>
      </w:pPr>
      <w:r>
        <w:rPr>
          <w:rFonts w:ascii="Times New Roman" w:cs="Times New Roman" w:eastAsia="Times New Roman" w:hAnsi="Times New Roman"/>
          <w:sz w:val="22"/>
          <w:szCs w:val="22"/>
          <w:color w:val="auto"/>
        </w:rPr>
        <w:t>M</w:t>
      </w:r>
      <w:r>
        <w:rPr>
          <w:rFonts w:ascii="Times New Roman" w:cs="Times New Roman" w:eastAsia="Times New Roman" w:hAnsi="Times New Roman"/>
          <w:sz w:val="14"/>
          <w:szCs w:val="14"/>
          <w:color w:val="auto"/>
        </w:rPr>
        <w:t>orris</w:t>
      </w:r>
      <w:r>
        <w:rPr>
          <w:rFonts w:ascii="Times New Roman" w:cs="Times New Roman" w:eastAsia="Times New Roman" w:hAnsi="Times New Roman"/>
          <w:sz w:val="22"/>
          <w:szCs w:val="22"/>
          <w:color w:val="auto"/>
        </w:rPr>
        <w:t>, N</w:t>
      </w:r>
      <w:r>
        <w:rPr>
          <w:rFonts w:ascii="Times New Roman" w:cs="Times New Roman" w:eastAsia="Times New Roman" w:hAnsi="Times New Roman"/>
          <w:sz w:val="14"/>
          <w:szCs w:val="14"/>
          <w:color w:val="auto"/>
        </w:rPr>
        <w:t>ichols</w:t>
      </w:r>
      <w:r>
        <w:rPr>
          <w:rFonts w:ascii="Times New Roman" w:cs="Times New Roman" w:eastAsia="Times New Roman" w:hAnsi="Times New Roman"/>
          <w:sz w:val="22"/>
          <w:szCs w:val="22"/>
          <w:color w:val="auto"/>
        </w:rPr>
        <w:t>, A</w:t>
      </w:r>
      <w:r>
        <w:rPr>
          <w:rFonts w:ascii="Times New Roman" w:cs="Times New Roman" w:eastAsia="Times New Roman" w:hAnsi="Times New Roman"/>
          <w:sz w:val="14"/>
          <w:szCs w:val="14"/>
          <w:color w:val="auto"/>
        </w:rPr>
        <w:t>rsht</w:t>
      </w:r>
      <w:r>
        <w:rPr>
          <w:rFonts w:ascii="Times New Roman" w:cs="Times New Roman" w:eastAsia="Times New Roman" w:hAnsi="Times New Roman"/>
          <w:sz w:val="22"/>
          <w:szCs w:val="22"/>
          <w:color w:val="auto"/>
        </w:rPr>
        <w:t xml:space="preserve"> &amp; T</w:t>
      </w:r>
      <w:r>
        <w:rPr>
          <w:rFonts w:ascii="Times New Roman" w:cs="Times New Roman" w:eastAsia="Times New Roman" w:hAnsi="Times New Roman"/>
          <w:sz w:val="14"/>
          <w:szCs w:val="14"/>
          <w:color w:val="auto"/>
        </w:rPr>
        <w:t>unnell</w:t>
      </w:r>
      <w:r>
        <w:rPr>
          <w:rFonts w:ascii="Times New Roman" w:cs="Times New Roman" w:eastAsia="Times New Roman" w:hAnsi="Times New Roman"/>
          <w:sz w:val="22"/>
          <w:szCs w:val="22"/>
          <w:color w:val="auto"/>
        </w:rPr>
        <w:t xml:space="preserve"> LLP</w:t>
      </w:r>
    </w:p>
    <w:p>
      <w:pPr>
        <w:spacing w:after="0" w:line="229" w:lineRule="exact"/>
        <w:rPr>
          <w:sz w:val="20"/>
          <w:szCs w:val="20"/>
          <w:color w:val="auto"/>
        </w:rPr>
      </w:pPr>
    </w:p>
    <w:p>
      <w:pPr>
        <w:ind w:left="49"/>
        <w:spacing w:after="0"/>
        <w:rPr>
          <w:sz w:val="20"/>
          <w:szCs w:val="20"/>
          <w:color w:val="auto"/>
        </w:rPr>
      </w:pPr>
      <w:r>
        <w:rPr>
          <w:rFonts w:ascii="Times New Roman" w:cs="Times New Roman" w:eastAsia="Times New Roman" w:hAnsi="Times New Roman"/>
          <w:sz w:val="22"/>
          <w:szCs w:val="22"/>
          <w:i w:val="1"/>
          <w:iCs w:val="1"/>
          <w:color w:val="auto"/>
        </w:rPr>
        <w:t>/s/</w:t>
      </w:r>
    </w:p>
    <w:p>
      <w:pPr>
        <w:spacing w:after="0" w:line="251" w:lineRule="exact"/>
        <w:rPr>
          <w:sz w:val="20"/>
          <w:szCs w:val="20"/>
          <w:color w:val="auto"/>
        </w:rPr>
      </w:pPr>
    </w:p>
    <w:p>
      <w:pPr>
        <w:ind w:left="9"/>
        <w:spacing w:after="0"/>
        <w:rPr>
          <w:sz w:val="20"/>
          <w:szCs w:val="20"/>
          <w:color w:val="auto"/>
        </w:rPr>
      </w:pPr>
      <w:r>
        <w:rPr>
          <w:rFonts w:ascii="Times New Roman" w:cs="Times New Roman" w:eastAsia="Times New Roman" w:hAnsi="Times New Roman"/>
          <w:sz w:val="22"/>
          <w:szCs w:val="22"/>
          <w:color w:val="auto"/>
        </w:rPr>
        <w:t>Derek J. Fahnestock (#4705) 1201 North</w:t>
      </w:r>
    </w:p>
    <w:p>
      <w:pPr>
        <w:spacing w:after="0" w:line="4" w:lineRule="exact"/>
        <w:rPr>
          <w:sz w:val="20"/>
          <w:szCs w:val="20"/>
          <w:color w:val="auto"/>
        </w:rPr>
      </w:pPr>
    </w:p>
    <w:p>
      <w:pPr>
        <w:ind w:left="9"/>
        <w:spacing w:after="0"/>
        <w:rPr>
          <w:sz w:val="20"/>
          <w:szCs w:val="20"/>
          <w:color w:val="auto"/>
        </w:rPr>
      </w:pPr>
      <w:r>
        <w:rPr>
          <w:rFonts w:ascii="Times New Roman" w:cs="Times New Roman" w:eastAsia="Times New Roman" w:hAnsi="Times New Roman"/>
          <w:sz w:val="22"/>
          <w:szCs w:val="22"/>
          <w:color w:val="auto"/>
        </w:rPr>
        <w:t>Market Street</w:t>
      </w:r>
    </w:p>
    <w:p>
      <w:pPr>
        <w:ind w:left="9"/>
        <w:spacing w:after="0" w:line="230" w:lineRule="auto"/>
        <w:rPr>
          <w:sz w:val="20"/>
          <w:szCs w:val="20"/>
          <w:color w:val="auto"/>
        </w:rPr>
      </w:pPr>
      <w:r>
        <w:rPr>
          <w:rFonts w:ascii="Times New Roman" w:cs="Times New Roman" w:eastAsia="Times New Roman" w:hAnsi="Times New Roman"/>
          <w:sz w:val="22"/>
          <w:szCs w:val="22"/>
          <w:color w:val="auto"/>
        </w:rPr>
        <w:t>P.O. Box 1347</w:t>
      </w:r>
    </w:p>
    <w:p>
      <w:pPr>
        <w:spacing w:after="0" w:line="1" w:lineRule="exact"/>
        <w:rPr>
          <w:sz w:val="20"/>
          <w:szCs w:val="20"/>
          <w:color w:val="auto"/>
        </w:rPr>
      </w:pPr>
    </w:p>
    <w:p>
      <w:pPr>
        <w:ind w:left="9"/>
        <w:spacing w:after="0"/>
        <w:rPr>
          <w:sz w:val="20"/>
          <w:szCs w:val="20"/>
          <w:color w:val="auto"/>
        </w:rPr>
      </w:pPr>
      <w:r>
        <w:rPr>
          <w:rFonts w:ascii="Times New Roman" w:cs="Times New Roman" w:eastAsia="Times New Roman" w:hAnsi="Times New Roman"/>
          <w:sz w:val="22"/>
          <w:szCs w:val="22"/>
          <w:color w:val="auto"/>
        </w:rPr>
        <w:t>Wilmington, DE 19899</w:t>
      </w:r>
    </w:p>
    <w:p>
      <w:pPr>
        <w:spacing w:after="0" w:line="4" w:lineRule="exact"/>
        <w:rPr>
          <w:sz w:val="20"/>
          <w:szCs w:val="20"/>
          <w:color w:val="auto"/>
        </w:rPr>
      </w:pPr>
    </w:p>
    <w:p>
      <w:pPr>
        <w:ind w:left="9" w:right="6119" w:hanging="9"/>
        <w:spacing w:after="0" w:line="235" w:lineRule="auto"/>
        <w:tabs>
          <w:tab w:leader="none" w:pos="53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658-9200 dfahnestock@mnat.com </w:t>
      </w:r>
      <w:r>
        <w:rPr>
          <w:rFonts w:ascii="Times New Roman" w:cs="Times New Roman" w:eastAsia="Times New Roman" w:hAnsi="Times New Roman"/>
          <w:sz w:val="22"/>
          <w:szCs w:val="22"/>
          <w:i w:val="1"/>
          <w:iCs w:val="1"/>
          <w:color w:val="auto"/>
        </w:rPr>
        <w:t>Attorneys for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Defendants </w:t>
      </w:r>
      <w:r>
        <w:rPr>
          <w:rFonts w:ascii="Times New Roman" w:cs="Times New Roman" w:eastAsia="Times New Roman" w:hAnsi="Times New Roman"/>
          <w:sz w:val="22"/>
          <w:szCs w:val="22"/>
          <w:color w:val="auto"/>
        </w:rPr>
        <w:t>September , 2026</w:t>
      </w:r>
    </w:p>
    <w:p>
      <w:pPr>
        <w:spacing w:after="0" w:line="97" w:lineRule="exact"/>
        <w:rPr>
          <w:sz w:val="20"/>
          <w:szCs w:val="20"/>
          <w:color w:val="auto"/>
        </w:rPr>
      </w:pPr>
    </w:p>
    <w:p>
      <w:pPr>
        <w:ind w:left="3189"/>
        <w:spacing w:after="0"/>
        <w:tabs>
          <w:tab w:leader="none" w:pos="5368" w:val="left"/>
        </w:tabs>
        <w:rPr>
          <w:sz w:val="20"/>
          <w:szCs w:val="20"/>
          <w:color w:val="auto"/>
        </w:rPr>
      </w:pPr>
      <w:r>
        <w:rPr>
          <w:rFonts w:ascii="Times New Roman" w:cs="Times New Roman" w:eastAsia="Times New Roman" w:hAnsi="Times New Roman"/>
          <w:sz w:val="22"/>
          <w:szCs w:val="22"/>
          <w:color w:val="auto"/>
        </w:rPr>
        <w:t>SO ORDERED, this</w:t>
      </w:r>
      <w:r>
        <w:rPr>
          <w:sz w:val="20"/>
          <w:szCs w:val="20"/>
          <w:color w:val="auto"/>
        </w:rPr>
        <w:tab/>
      </w:r>
      <w:r>
        <w:rPr>
          <w:rFonts w:ascii="Times New Roman" w:cs="Times New Roman" w:eastAsia="Times New Roman" w:hAnsi="Times New Roman"/>
          <w:sz w:val="22"/>
          <w:szCs w:val="22"/>
          <w:color w:val="auto"/>
        </w:rPr>
        <w:t>day of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3179445</wp:posOffset>
            </wp:positionH>
            <wp:positionV relativeFrom="paragraph">
              <wp:posOffset>-13970</wp:posOffset>
            </wp:positionV>
            <wp:extent cx="212725"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6">
                      <a:extLst>
                        <a:ext uri="{28A0092B-C50C-407E-A947-70E740481C1C}"/>
                      </a:extLst>
                    </a:blip>
                    <a:srcRect/>
                    <a:stretch>
                      <a:fillRect/>
                    </a:stretch>
                  </pic:blipFill>
                  <pic:spPr bwMode="auto">
                    <a:xfrm>
                      <a:off x="0" y="0"/>
                      <a:ext cx="2127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right"/>
        <w:ind w:right="2479"/>
        <w:spacing w:after="0"/>
        <w:rPr>
          <w:sz w:val="20"/>
          <w:szCs w:val="20"/>
          <w:color w:val="auto"/>
        </w:rPr>
      </w:pPr>
      <w:r>
        <w:rPr>
          <w:rFonts w:ascii="Times New Roman" w:cs="Times New Roman" w:eastAsia="Times New Roman" w:hAnsi="Times New Roman"/>
          <w:sz w:val="22"/>
          <w:szCs w:val="22"/>
          <w:color w:val="auto"/>
        </w:rPr>
        <w:t>United States District Judge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-471170</wp:posOffset>
            </wp:positionH>
            <wp:positionV relativeFrom="paragraph">
              <wp:posOffset>220980</wp:posOffset>
            </wp:positionV>
            <wp:extent cx="7157720"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408"/>
          </w:cols>
          <w:pgMar w:left="1051" w:top="1395" w:right="1440" w:bottom="1440" w:gutter="0" w:footer="0" w:header="0"/>
        </w:sectPr>
      </w:pPr>
    </w:p>
    <w:bookmarkStart w:id="65" w:name="page66"/>
    <w:bookmarkEnd w:id="6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86"/>
          <w:szCs w:val="86"/>
          <w:b w:val="1"/>
          <w:bCs w:val="1"/>
          <w:color w:val="auto"/>
        </w:rPr>
        <w:t>EXHIBIT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710565</wp:posOffset>
            </wp:positionV>
            <wp:extent cx="7157720"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66" w:name="page67"/>
    <w:bookmarkEnd w:id="66"/>
    <w:p>
      <w:pPr>
        <w:ind w:left="2520"/>
        <w:spacing w:after="0"/>
        <w:rPr>
          <w:sz w:val="20"/>
          <w:szCs w:val="20"/>
          <w:color w:val="auto"/>
        </w:rPr>
      </w:pPr>
      <w:r>
        <w:rPr>
          <w:rFonts w:ascii="Times New Roman" w:cs="Times New Roman" w:eastAsia="Times New Roman" w:hAnsi="Times New Roman"/>
          <w:sz w:val="22"/>
          <w:szCs w:val="22"/>
          <w:b w:val="1"/>
          <w:bCs w:val="1"/>
          <w:color w:val="auto"/>
        </w:rPr>
        <w:t>IN THE UNITED STATES COURT OF APPEALS FOR THE</w:t>
      </w:r>
    </w:p>
    <w:p>
      <w:pPr>
        <w:spacing w:after="0" w:line="18"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2"/>
          <w:szCs w:val="22"/>
          <w:b w:val="1"/>
          <w:bCs w:val="1"/>
          <w:color w:val="auto"/>
        </w:rPr>
        <w:t>FEDERAL CIRCUIT</w:t>
      </w:r>
    </w:p>
    <w:p>
      <w:pPr>
        <w:spacing w:after="0" w:line="187"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4400" w:type="dxa"/>
            <w:vAlign w:val="bottom"/>
          </w:tcPr>
          <w:p>
            <w:pPr>
              <w:spacing w:after="0"/>
              <w:rPr>
                <w:sz w:val="20"/>
                <w:szCs w:val="20"/>
                <w:color w:val="auto"/>
              </w:rPr>
            </w:pPr>
            <w:r>
              <w:rPr>
                <w:rFonts w:ascii="Times New Roman" w:cs="Times New Roman" w:eastAsia="Times New Roman" w:hAnsi="Times New Roman"/>
                <w:sz w:val="20"/>
                <w:szCs w:val="20"/>
                <w:color w:val="auto"/>
              </w:rPr>
              <w:t>SAREPTA THERAPEUTICS, INC.,</w:t>
            </w:r>
          </w:p>
        </w:tc>
        <w:tc>
          <w:tcPr>
            <w:tcW w:w="24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400" w:type="dxa"/>
            <w:vAlign w:val="bottom"/>
            <w:vMerge w:val="restart"/>
          </w:tcPr>
          <w:p>
            <w:pPr>
              <w:jc w:val="center"/>
              <w:ind w:left="740"/>
              <w:spacing w:after="0"/>
              <w:rPr>
                <w:sz w:val="20"/>
                <w:szCs w:val="20"/>
                <w:color w:val="auto"/>
              </w:rPr>
            </w:pPr>
            <w:r>
              <w:rPr>
                <w:rFonts w:ascii="Times New Roman" w:cs="Times New Roman" w:eastAsia="Times New Roman" w:hAnsi="Times New Roman"/>
                <w:sz w:val="20"/>
                <w:szCs w:val="20"/>
                <w:color w:val="auto"/>
              </w:rPr>
              <w:t>Appellant,</w:t>
            </w:r>
          </w:p>
        </w:tc>
        <w:tc>
          <w:tcPr>
            <w:tcW w:w="24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400" w:type="dxa"/>
            <w:vAlign w:val="bottom"/>
            <w:vMerge w:val="continue"/>
          </w:tcPr>
          <w:p>
            <w:pPr>
              <w:spacing w:after="0"/>
              <w:rPr>
                <w:sz w:val="19"/>
                <w:szCs w:val="19"/>
                <w:color w:val="auto"/>
              </w:rPr>
            </w:pPr>
          </w:p>
        </w:tc>
        <w:tc>
          <w:tcPr>
            <w:tcW w:w="24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400" w:type="dxa"/>
            <w:vAlign w:val="bottom"/>
            <w:vMerge w:val="restart"/>
          </w:tcPr>
          <w:p>
            <w:pPr>
              <w:jc w:val="center"/>
              <w:ind w:left="760"/>
              <w:spacing w:after="0"/>
              <w:rPr>
                <w:sz w:val="20"/>
                <w:szCs w:val="20"/>
                <w:color w:val="auto"/>
              </w:rPr>
            </w:pPr>
            <w:r>
              <w:rPr>
                <w:rFonts w:ascii="Times New Roman" w:cs="Times New Roman" w:eastAsia="Times New Roman" w:hAnsi="Times New Roman"/>
                <w:sz w:val="20"/>
                <w:szCs w:val="20"/>
                <w:color w:val="auto"/>
                <w:w w:val="93"/>
              </w:rPr>
              <w:t>v.</w:t>
            </w:r>
          </w:p>
        </w:tc>
        <w:tc>
          <w:tcPr>
            <w:tcW w:w="24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4400" w:type="dxa"/>
            <w:vAlign w:val="bottom"/>
            <w:vMerge w:val="continue"/>
          </w:tcPr>
          <w:p>
            <w:pPr>
              <w:spacing w:after="0"/>
              <w:rPr>
                <w:sz w:val="19"/>
                <w:szCs w:val="19"/>
                <w:color w:val="auto"/>
              </w:rPr>
            </w:pPr>
          </w:p>
        </w:tc>
        <w:tc>
          <w:tcPr>
            <w:tcW w:w="24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44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TRUSTEES OF THE UNIVERSITY OF</w:t>
            </w:r>
          </w:p>
        </w:tc>
        <w:tc>
          <w:tcPr>
            <w:tcW w:w="2480" w:type="dxa"/>
            <w:vAlign w:val="bottom"/>
          </w:tcPr>
          <w:p>
            <w:pPr>
              <w:ind w:left="880"/>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20"/>
                <w:szCs w:val="20"/>
                <w:color w:val="auto"/>
                <w:w w:val="99"/>
              </w:rPr>
              <w:t>No. 2026-1071</w:t>
            </w:r>
          </w:p>
        </w:tc>
        <w:tc>
          <w:tcPr>
            <w:tcW w:w="0" w:type="dxa"/>
            <w:vAlign w:val="bottom"/>
          </w:tcPr>
          <w:p>
            <w:pPr>
              <w:spacing w:after="0"/>
              <w:rPr>
                <w:sz w:val="1"/>
                <w:szCs w:val="1"/>
                <w:color w:val="auto"/>
              </w:rPr>
            </w:pPr>
          </w:p>
        </w:tc>
      </w:tr>
      <w:tr>
        <w:trPr>
          <w:trHeight w:val="225"/>
        </w:trPr>
        <w:tc>
          <w:tcPr>
            <w:tcW w:w="4400" w:type="dxa"/>
            <w:vAlign w:val="bottom"/>
            <w:vMerge w:val="continue"/>
          </w:tcPr>
          <w:p>
            <w:pPr>
              <w:spacing w:after="0"/>
              <w:rPr>
                <w:sz w:val="19"/>
                <w:szCs w:val="19"/>
                <w:color w:val="auto"/>
              </w:rPr>
            </w:pPr>
          </w:p>
        </w:tc>
        <w:tc>
          <w:tcPr>
            <w:tcW w:w="24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4400" w:type="dxa"/>
            <w:vAlign w:val="bottom"/>
          </w:tcPr>
          <w:p>
            <w:pPr>
              <w:spacing w:after="0"/>
              <w:rPr>
                <w:sz w:val="20"/>
                <w:szCs w:val="20"/>
                <w:color w:val="auto"/>
              </w:rPr>
            </w:pPr>
            <w:r>
              <w:rPr>
                <w:rFonts w:ascii="Times New Roman" w:cs="Times New Roman" w:eastAsia="Times New Roman" w:hAnsi="Times New Roman"/>
                <w:sz w:val="20"/>
                <w:szCs w:val="20"/>
                <w:color w:val="auto"/>
              </w:rPr>
              <w:t>PENNSYLVANIA and REGENXBIO INC.,</w:t>
            </w:r>
          </w:p>
        </w:tc>
        <w:tc>
          <w:tcPr>
            <w:tcW w:w="24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400" w:type="dxa"/>
            <w:vAlign w:val="bottom"/>
            <w:vMerge w:val="restart"/>
          </w:tcPr>
          <w:p>
            <w:pPr>
              <w:jc w:val="center"/>
              <w:ind w:left="740"/>
              <w:spacing w:after="0"/>
              <w:rPr>
                <w:sz w:val="20"/>
                <w:szCs w:val="20"/>
                <w:color w:val="auto"/>
              </w:rPr>
            </w:pPr>
            <w:r>
              <w:rPr>
                <w:rFonts w:ascii="Times New Roman" w:cs="Times New Roman" w:eastAsia="Times New Roman" w:hAnsi="Times New Roman"/>
                <w:sz w:val="22"/>
                <w:szCs w:val="22"/>
                <w:color w:val="auto"/>
                <w:w w:val="98"/>
              </w:rPr>
              <w:t>Appellees.</w:t>
            </w:r>
          </w:p>
        </w:tc>
        <w:tc>
          <w:tcPr>
            <w:tcW w:w="24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400" w:type="dxa"/>
            <w:vAlign w:val="bottom"/>
            <w:vMerge w:val="continue"/>
          </w:tcPr>
          <w:p>
            <w:pPr>
              <w:spacing w:after="0"/>
              <w:rPr>
                <w:sz w:val="21"/>
                <w:szCs w:val="21"/>
                <w:color w:val="auto"/>
              </w:rPr>
            </w:pPr>
          </w:p>
        </w:tc>
        <w:tc>
          <w:tcPr>
            <w:tcW w:w="24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4400" w:type="dxa"/>
            <w:vAlign w:val="bottom"/>
          </w:tcPr>
          <w:p>
            <w:pPr>
              <w:spacing w:after="0"/>
              <w:rPr>
                <w:sz w:val="20"/>
                <w:szCs w:val="20"/>
                <w:color w:val="auto"/>
              </w:rPr>
            </w:pPr>
          </w:p>
        </w:tc>
        <w:tc>
          <w:tcPr>
            <w:tcW w:w="24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JOINT STIPULATION OF VOLUNTARY DISMISSAL</w:t>
      </w:r>
    </w:p>
    <w:p>
      <w:pPr>
        <w:spacing w:after="0" w:line="237" w:lineRule="exact"/>
        <w:rPr>
          <w:sz w:val="20"/>
          <w:szCs w:val="20"/>
          <w:color w:val="auto"/>
        </w:rPr>
      </w:pPr>
    </w:p>
    <w:p>
      <w:pPr>
        <w:jc w:val="both"/>
        <w:ind w:left="380" w:right="360" w:firstLine="749"/>
        <w:spacing w:after="0" w:line="242" w:lineRule="auto"/>
        <w:rPr>
          <w:sz w:val="20"/>
          <w:szCs w:val="20"/>
          <w:color w:val="auto"/>
        </w:rPr>
      </w:pPr>
      <w:r>
        <w:rPr>
          <w:rFonts w:ascii="Times New Roman" w:cs="Times New Roman" w:eastAsia="Times New Roman" w:hAnsi="Times New Roman"/>
          <w:sz w:val="22"/>
          <w:szCs w:val="22"/>
          <w:color w:val="auto"/>
        </w:rPr>
        <w:t>Pursuant to Federal Rule of Appellate Procedure 42(b)(1), the parties hereby stipulate to the dismissal of the appeal filed by the Sarepta Therapeutics, Inc., docketed under Case No. 2026-1071, with each side to bear its own fees and costs associated with this appeal.</w:t>
      </w:r>
    </w:p>
    <w:tbl>
      <w:tblPr>
        <w:tblLayout w:type="fixed"/>
        <w:tblInd w:w="0" w:type="dxa"/>
        <w:tblCellMar>
          <w:top w:w="0" w:type="dxa"/>
          <w:left w:w="0" w:type="dxa"/>
          <w:bottom w:w="0" w:type="dxa"/>
          <w:right w:w="0" w:type="dxa"/>
        </w:tblCellMar>
      </w:tblPr>
      <w:tr>
        <w:trPr>
          <w:trHeight w:val="220"/>
        </w:trPr>
        <w:tc>
          <w:tcPr>
            <w:tcW w:w="5620" w:type="dxa"/>
            <w:vAlign w:val="bottom"/>
          </w:tcPr>
          <w:p>
            <w:pPr>
              <w:ind w:left="180"/>
              <w:spacing w:after="0" w:line="220" w:lineRule="exact"/>
              <w:rPr>
                <w:sz w:val="20"/>
                <w:szCs w:val="20"/>
                <w:color w:val="auto"/>
              </w:rPr>
            </w:pPr>
            <w:r>
              <w:rPr>
                <w:rFonts w:ascii="Times New Roman" w:cs="Times New Roman" w:eastAsia="Times New Roman" w:hAnsi="Times New Roman"/>
                <w:sz w:val="22"/>
                <w:szCs w:val="22"/>
                <w:color w:val="auto"/>
              </w:rPr>
              <w:t>Q</w:t>
            </w:r>
            <w:r>
              <w:rPr>
                <w:rFonts w:ascii="Times New Roman" w:cs="Times New Roman" w:eastAsia="Times New Roman" w:hAnsi="Times New Roman"/>
                <w:sz w:val="14"/>
                <w:szCs w:val="14"/>
                <w:color w:val="auto"/>
              </w:rPr>
              <w:t>uinn</w:t>
            </w:r>
            <w:r>
              <w:rPr>
                <w:rFonts w:ascii="Times New Roman" w:cs="Times New Roman" w:eastAsia="Times New Roman" w:hAnsi="Times New Roman"/>
                <w:sz w:val="22"/>
                <w:szCs w:val="22"/>
                <w:color w:val="auto"/>
              </w:rPr>
              <w:t xml:space="preserve"> E</w:t>
            </w:r>
            <w:r>
              <w:rPr>
                <w:rFonts w:ascii="Times New Roman" w:cs="Times New Roman" w:eastAsia="Times New Roman" w:hAnsi="Times New Roman"/>
                <w:sz w:val="14"/>
                <w:szCs w:val="14"/>
                <w:color w:val="auto"/>
              </w:rPr>
              <w:t>manuel</w:t>
            </w:r>
          </w:p>
        </w:tc>
        <w:tc>
          <w:tcPr>
            <w:tcW w:w="5620" w:type="dxa"/>
            <w:vAlign w:val="bottom"/>
          </w:tcPr>
          <w:p>
            <w:pPr>
              <w:ind w:left="160"/>
              <w:spacing w:after="0" w:line="220" w:lineRule="exact"/>
              <w:rPr>
                <w:sz w:val="20"/>
                <w:szCs w:val="20"/>
                <w:color w:val="auto"/>
              </w:rPr>
            </w:pPr>
            <w:r>
              <w:rPr>
                <w:rFonts w:ascii="Times New Roman" w:cs="Times New Roman" w:eastAsia="Times New Roman" w:hAnsi="Times New Roman"/>
                <w:sz w:val="22"/>
                <w:szCs w:val="22"/>
                <w:color w:val="auto"/>
              </w:rPr>
              <w:t>F</w:t>
            </w:r>
            <w:r>
              <w:rPr>
                <w:rFonts w:ascii="Times New Roman" w:cs="Times New Roman" w:eastAsia="Times New Roman" w:hAnsi="Times New Roman"/>
                <w:sz w:val="14"/>
                <w:szCs w:val="14"/>
                <w:color w:val="auto"/>
              </w:rPr>
              <w:t>ish</w:t>
            </w:r>
            <w:r>
              <w:rPr>
                <w:rFonts w:ascii="Times New Roman" w:cs="Times New Roman" w:eastAsia="Times New Roman" w:hAnsi="Times New Roman"/>
                <w:sz w:val="22"/>
                <w:szCs w:val="22"/>
                <w:color w:val="auto"/>
              </w:rPr>
              <w:t xml:space="preserve"> &amp; R</w:t>
            </w:r>
            <w:r>
              <w:rPr>
                <w:rFonts w:ascii="Times New Roman" w:cs="Times New Roman" w:eastAsia="Times New Roman" w:hAnsi="Times New Roman"/>
                <w:sz w:val="14"/>
                <w:szCs w:val="14"/>
                <w:color w:val="auto"/>
              </w:rPr>
              <w:t>ichardson</w:t>
            </w:r>
            <w:r>
              <w:rPr>
                <w:rFonts w:ascii="Times New Roman" w:cs="Times New Roman" w:eastAsia="Times New Roman" w:hAnsi="Times New Roman"/>
                <w:sz w:val="22"/>
                <w:szCs w:val="22"/>
                <w:color w:val="auto"/>
              </w:rPr>
              <w:t xml:space="preserve"> P.C.</w:t>
            </w:r>
          </w:p>
        </w:tc>
        <w:tc>
          <w:tcPr>
            <w:tcW w:w="0" w:type="dxa"/>
            <w:vAlign w:val="bottom"/>
          </w:tcPr>
          <w:p>
            <w:pPr>
              <w:spacing w:after="0"/>
              <w:rPr>
                <w:sz w:val="1"/>
                <w:szCs w:val="1"/>
                <w:color w:val="auto"/>
              </w:rPr>
            </w:pPr>
          </w:p>
        </w:tc>
      </w:tr>
      <w:tr>
        <w:trPr>
          <w:trHeight w:val="282"/>
        </w:trPr>
        <w:tc>
          <w:tcPr>
            <w:tcW w:w="562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U</w:t>
            </w:r>
            <w:r>
              <w:rPr>
                <w:rFonts w:ascii="Times New Roman" w:cs="Times New Roman" w:eastAsia="Times New Roman" w:hAnsi="Times New Roman"/>
                <w:sz w:val="14"/>
                <w:szCs w:val="14"/>
                <w:color w:val="auto"/>
              </w:rPr>
              <w:t>rquhart</w:t>
            </w:r>
            <w:r>
              <w:rPr>
                <w:rFonts w:ascii="Times New Roman" w:cs="Times New Roman" w:eastAsia="Times New Roman" w:hAnsi="Times New Roman"/>
                <w:sz w:val="22"/>
                <w:szCs w:val="22"/>
                <w:color w:val="auto"/>
              </w:rPr>
              <w:t xml:space="preserve"> &amp; S</w:t>
            </w:r>
            <w:r>
              <w:rPr>
                <w:rFonts w:ascii="Times New Roman" w:cs="Times New Roman" w:eastAsia="Times New Roman" w:hAnsi="Times New Roman"/>
                <w:sz w:val="14"/>
                <w:szCs w:val="14"/>
                <w:color w:val="auto"/>
              </w:rPr>
              <w:t>ullivan</w:t>
            </w:r>
            <w:r>
              <w:rPr>
                <w:rFonts w:ascii="Times New Roman" w:cs="Times New Roman" w:eastAsia="Times New Roman" w:hAnsi="Times New Roman"/>
                <w:sz w:val="22"/>
                <w:szCs w:val="22"/>
                <w:color w:val="auto"/>
              </w:rPr>
              <w:t>, LLP</w:t>
            </w:r>
          </w:p>
        </w:tc>
        <w:tc>
          <w:tcPr>
            <w:tcW w:w="5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5620" w:type="dxa"/>
            <w:vAlign w:val="bottom"/>
          </w:tcPr>
          <w:p>
            <w:pPr>
              <w:ind w:left="180"/>
              <w:spacing w:after="0"/>
              <w:rPr>
                <w:sz w:val="20"/>
                <w:szCs w:val="20"/>
                <w:color w:val="auto"/>
              </w:rPr>
            </w:pPr>
            <w:r>
              <w:rPr>
                <w:rFonts w:ascii="Times New Roman" w:cs="Times New Roman" w:eastAsia="Times New Roman" w:hAnsi="Times New Roman"/>
                <w:sz w:val="22"/>
                <w:szCs w:val="22"/>
                <w:i w:val="1"/>
                <w:iCs w:val="1"/>
                <w:color w:val="auto"/>
              </w:rPr>
              <w:t>/s/</w:t>
            </w:r>
          </w:p>
        </w:tc>
        <w:tc>
          <w:tcPr>
            <w:tcW w:w="5620" w:type="dxa"/>
            <w:vAlign w:val="bottom"/>
          </w:tcPr>
          <w:p>
            <w:pPr>
              <w:ind w:left="160"/>
              <w:spacing w:after="0"/>
              <w:rPr>
                <w:sz w:val="20"/>
                <w:szCs w:val="20"/>
                <w:color w:val="auto"/>
              </w:rPr>
            </w:pPr>
            <w:r>
              <w:rPr>
                <w:rFonts w:ascii="Times New Roman" w:cs="Times New Roman" w:eastAsia="Times New Roman" w:hAnsi="Times New Roman"/>
                <w:sz w:val="22"/>
                <w:szCs w:val="22"/>
                <w:i w:val="1"/>
                <w:iCs w:val="1"/>
                <w:color w:val="auto"/>
              </w:rPr>
              <w:t>/s/</w:t>
            </w:r>
          </w:p>
        </w:tc>
        <w:tc>
          <w:tcPr>
            <w:tcW w:w="0" w:type="dxa"/>
            <w:vAlign w:val="bottom"/>
          </w:tcPr>
          <w:p>
            <w:pPr>
              <w:spacing w:after="0"/>
              <w:rPr>
                <w:sz w:val="1"/>
                <w:szCs w:val="1"/>
                <w:color w:val="auto"/>
              </w:rPr>
            </w:pPr>
          </w:p>
        </w:tc>
      </w:tr>
      <w:tr>
        <w:trPr>
          <w:trHeight w:val="460"/>
        </w:trPr>
        <w:tc>
          <w:tcPr>
            <w:tcW w:w="56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Robert B. Wilson</w:t>
            </w:r>
          </w:p>
        </w:tc>
        <w:tc>
          <w:tcPr>
            <w:tcW w:w="56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Susan E. Morrison</w:t>
            </w:r>
          </w:p>
        </w:tc>
        <w:tc>
          <w:tcPr>
            <w:tcW w:w="0" w:type="dxa"/>
            <w:vAlign w:val="bottom"/>
          </w:tcPr>
          <w:p>
            <w:pPr>
              <w:spacing w:after="0"/>
              <w:rPr>
                <w:sz w:val="1"/>
                <w:szCs w:val="1"/>
                <w:color w:val="auto"/>
              </w:rPr>
            </w:pPr>
          </w:p>
        </w:tc>
      </w:tr>
      <w:tr>
        <w:trPr>
          <w:trHeight w:val="243"/>
        </w:trPr>
        <w:tc>
          <w:tcPr>
            <w:tcW w:w="56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Anne S. Toker</w:t>
            </w:r>
          </w:p>
        </w:tc>
        <w:tc>
          <w:tcPr>
            <w:tcW w:w="56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Casey M. Kraning</w:t>
            </w:r>
          </w:p>
        </w:tc>
        <w:tc>
          <w:tcPr>
            <w:tcW w:w="0" w:type="dxa"/>
            <w:vAlign w:val="bottom"/>
          </w:tcPr>
          <w:p>
            <w:pPr>
              <w:spacing w:after="0"/>
              <w:rPr>
                <w:sz w:val="1"/>
                <w:szCs w:val="1"/>
                <w:color w:val="auto"/>
              </w:rPr>
            </w:pPr>
          </w:p>
        </w:tc>
      </w:tr>
      <w:tr>
        <w:trPr>
          <w:trHeight w:val="243"/>
        </w:trPr>
        <w:tc>
          <w:tcPr>
            <w:tcW w:w="56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James M. Glass</w:t>
            </w:r>
          </w:p>
        </w:tc>
        <w:tc>
          <w:tcPr>
            <w:tcW w:w="56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222 Delaware Avenue, 17th Floor Wilmington, DE</w:t>
            </w:r>
          </w:p>
        </w:tc>
        <w:tc>
          <w:tcPr>
            <w:tcW w:w="0" w:type="dxa"/>
            <w:vAlign w:val="bottom"/>
          </w:tcPr>
          <w:p>
            <w:pPr>
              <w:spacing w:after="0"/>
              <w:rPr>
                <w:sz w:val="1"/>
                <w:szCs w:val="1"/>
                <w:color w:val="auto"/>
              </w:rPr>
            </w:pPr>
          </w:p>
        </w:tc>
      </w:tr>
      <w:tr>
        <w:trPr>
          <w:trHeight w:val="243"/>
        </w:trPr>
        <w:tc>
          <w:tcPr>
            <w:tcW w:w="56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Anastasia M. Fernands</w:t>
            </w:r>
          </w:p>
        </w:tc>
        <w:tc>
          <w:tcPr>
            <w:tcW w:w="56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19801</w:t>
            </w:r>
          </w:p>
        </w:tc>
        <w:tc>
          <w:tcPr>
            <w:tcW w:w="0" w:type="dxa"/>
            <w:vAlign w:val="bottom"/>
          </w:tcPr>
          <w:p>
            <w:pPr>
              <w:spacing w:after="0"/>
              <w:rPr>
                <w:sz w:val="1"/>
                <w:szCs w:val="1"/>
                <w:color w:val="auto"/>
              </w:rPr>
            </w:pPr>
          </w:p>
        </w:tc>
      </w:tr>
      <w:tr>
        <w:trPr>
          <w:trHeight w:val="243"/>
        </w:trPr>
        <w:tc>
          <w:tcPr>
            <w:tcW w:w="56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295 Fifth Avenue, 9th Floor</w:t>
            </w:r>
          </w:p>
        </w:tc>
        <w:tc>
          <w:tcPr>
            <w:tcW w:w="56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(302) 652-5070</w:t>
            </w:r>
          </w:p>
        </w:tc>
        <w:tc>
          <w:tcPr>
            <w:tcW w:w="0" w:type="dxa"/>
            <w:vAlign w:val="bottom"/>
          </w:tcPr>
          <w:p>
            <w:pPr>
              <w:spacing w:after="0"/>
              <w:rPr>
                <w:sz w:val="1"/>
                <w:szCs w:val="1"/>
                <w:color w:val="auto"/>
              </w:rPr>
            </w:pPr>
          </w:p>
        </w:tc>
      </w:tr>
      <w:tr>
        <w:trPr>
          <w:trHeight w:val="243"/>
        </w:trPr>
        <w:tc>
          <w:tcPr>
            <w:tcW w:w="56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New York, NY 10016</w:t>
            </w:r>
          </w:p>
        </w:tc>
        <w:tc>
          <w:tcPr>
            <w:tcW w:w="56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morrison@fr.com kraning@fr.com</w:t>
            </w:r>
          </w:p>
        </w:tc>
        <w:tc>
          <w:tcPr>
            <w:tcW w:w="0" w:type="dxa"/>
            <w:vAlign w:val="bottom"/>
          </w:tcPr>
          <w:p>
            <w:pPr>
              <w:spacing w:after="0"/>
              <w:rPr>
                <w:sz w:val="1"/>
                <w:szCs w:val="1"/>
                <w:color w:val="auto"/>
              </w:rPr>
            </w:pPr>
          </w:p>
        </w:tc>
      </w:tr>
      <w:tr>
        <w:trPr>
          <w:trHeight w:val="243"/>
        </w:trPr>
        <w:tc>
          <w:tcPr>
            <w:tcW w:w="56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(212) 849-7000</w:t>
            </w:r>
          </w:p>
        </w:tc>
        <w:tc>
          <w:tcPr>
            <w:tcW w:w="56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i w:val="1"/>
                <w:iCs w:val="1"/>
                <w:color w:val="auto"/>
              </w:rPr>
              <w:t>Attorneys for Appellee REGENXBIO Inc.</w:t>
            </w:r>
          </w:p>
        </w:tc>
        <w:tc>
          <w:tcPr>
            <w:tcW w:w="0" w:type="dxa"/>
            <w:vAlign w:val="bottom"/>
          </w:tcPr>
          <w:p>
            <w:pPr>
              <w:spacing w:after="0"/>
              <w:rPr>
                <w:sz w:val="1"/>
                <w:szCs w:val="1"/>
                <w:color w:val="auto"/>
              </w:rPr>
            </w:pPr>
          </w:p>
        </w:tc>
      </w:tr>
      <w:tr>
        <w:trPr>
          <w:trHeight w:val="243"/>
        </w:trPr>
        <w:tc>
          <w:tcPr>
            <w:tcW w:w="56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robertwilson@quinnemanuel.com</w:t>
            </w:r>
          </w:p>
        </w:tc>
        <w:tc>
          <w:tcPr>
            <w:tcW w:w="56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annetoker@quinnemanuel.com jimglass@quinnemanuel.com</w:t>
            </w:r>
          </w:p>
        </w:tc>
        <w:tc>
          <w:tcPr>
            <w:tcW w:w="5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56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anastasiafernands@quinnemanuel.com</w:t>
            </w:r>
          </w:p>
        </w:tc>
        <w:tc>
          <w:tcPr>
            <w:tcW w:w="5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5620" w:type="dxa"/>
            <w:vAlign w:val="bottom"/>
          </w:tcPr>
          <w:p>
            <w:pPr>
              <w:ind w:left="140"/>
              <w:spacing w:after="0"/>
              <w:rPr>
                <w:sz w:val="20"/>
                <w:szCs w:val="20"/>
                <w:color w:val="auto"/>
              </w:rPr>
            </w:pPr>
            <w:r>
              <w:rPr>
                <w:rFonts w:ascii="Times New Roman" w:cs="Times New Roman" w:eastAsia="Times New Roman" w:hAnsi="Times New Roman"/>
                <w:sz w:val="22"/>
                <w:szCs w:val="22"/>
                <w:i w:val="1"/>
                <w:iCs w:val="1"/>
                <w:color w:val="auto"/>
              </w:rPr>
              <w:t>Attorneys forAppellant</w:t>
            </w:r>
          </w:p>
        </w:tc>
        <w:tc>
          <w:tcPr>
            <w:tcW w:w="5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7"/>
        </w:trPr>
        <w:tc>
          <w:tcPr>
            <w:tcW w:w="5620" w:type="dxa"/>
            <w:vAlign w:val="bottom"/>
            <w:tcBorders>
              <w:bottom w:val="single" w:sz="8" w:color="9A9A9A"/>
            </w:tcBorders>
          </w:tcPr>
          <w:p>
            <w:pPr>
              <w:spacing w:after="0"/>
              <w:rPr>
                <w:sz w:val="24"/>
                <w:szCs w:val="24"/>
                <w:color w:val="auto"/>
              </w:rPr>
            </w:pPr>
          </w:p>
        </w:tc>
        <w:tc>
          <w:tcPr>
            <w:tcW w:w="56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91" w:right="339" w:bottom="1440" w:gutter="0" w:footer="0" w:header="0"/>
        </w:sectPr>
      </w:pPr>
    </w:p>
    <w:bookmarkStart w:id="67" w:name="page68"/>
    <w:bookmarkEnd w:id="67"/>
    <w:p>
      <w:pPr>
        <w:ind w:left="60"/>
        <w:spacing w:after="0"/>
        <w:rPr>
          <w:sz w:val="20"/>
          <w:szCs w:val="20"/>
          <w:color w:val="auto"/>
        </w:rPr>
      </w:pPr>
      <w:r>
        <w:rPr>
          <w:rFonts w:ascii="Times New Roman" w:cs="Times New Roman" w:eastAsia="Times New Roman" w:hAnsi="Times New Roman"/>
          <w:sz w:val="22"/>
          <w:szCs w:val="22"/>
          <w:color w:val="auto"/>
        </w:rPr>
        <w:t>M</w:t>
      </w:r>
      <w:r>
        <w:rPr>
          <w:rFonts w:ascii="Times New Roman" w:cs="Times New Roman" w:eastAsia="Times New Roman" w:hAnsi="Times New Roman"/>
          <w:sz w:val="14"/>
          <w:szCs w:val="14"/>
          <w:color w:val="auto"/>
        </w:rPr>
        <w:t>organ</w:t>
      </w:r>
      <w:r>
        <w:rPr>
          <w:rFonts w:ascii="Times New Roman" w:cs="Times New Roman" w:eastAsia="Times New Roman" w:hAnsi="Times New Roman"/>
          <w:sz w:val="22"/>
          <w:szCs w:val="22"/>
          <w:color w:val="auto"/>
        </w:rPr>
        <w:t>, L</w:t>
      </w:r>
      <w:r>
        <w:rPr>
          <w:rFonts w:ascii="Times New Roman" w:cs="Times New Roman" w:eastAsia="Times New Roman" w:hAnsi="Times New Roman"/>
          <w:sz w:val="14"/>
          <w:szCs w:val="14"/>
          <w:color w:val="auto"/>
        </w:rPr>
        <w:t>ewis</w:t>
      </w:r>
      <w:r>
        <w:rPr>
          <w:rFonts w:ascii="Times New Roman" w:cs="Times New Roman" w:eastAsia="Times New Roman" w:hAnsi="Times New Roman"/>
          <w:sz w:val="22"/>
          <w:szCs w:val="22"/>
          <w:color w:val="auto"/>
        </w:rPr>
        <w:t xml:space="preserve"> &amp; B</w:t>
      </w:r>
      <w:r>
        <w:rPr>
          <w:rFonts w:ascii="Times New Roman" w:cs="Times New Roman" w:eastAsia="Times New Roman" w:hAnsi="Times New Roman"/>
          <w:sz w:val="14"/>
          <w:szCs w:val="14"/>
          <w:color w:val="auto"/>
        </w:rPr>
        <w:t>ockius</w:t>
      </w:r>
      <w:r>
        <w:rPr>
          <w:rFonts w:ascii="Times New Roman" w:cs="Times New Roman" w:eastAsia="Times New Roman" w:hAnsi="Times New Roman"/>
          <w:sz w:val="22"/>
          <w:szCs w:val="22"/>
          <w:color w:val="auto"/>
        </w:rPr>
        <w:t xml:space="preserve"> LLP</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i w:val="1"/>
          <w:iCs w:val="1"/>
          <w:color w:val="auto"/>
        </w:rPr>
        <w:t>/s/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Amy M. Dudash</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1201 North Market Street, Suite 2201</w:t>
      </w:r>
    </w:p>
    <w:p>
      <w:pPr>
        <w:spacing w:after="0" w:line="230" w:lineRule="auto"/>
        <w:rPr>
          <w:sz w:val="20"/>
          <w:szCs w:val="20"/>
          <w:color w:val="auto"/>
        </w:rPr>
      </w:pPr>
      <w:r>
        <w:rPr>
          <w:rFonts w:ascii="Times New Roman" w:cs="Times New Roman" w:eastAsia="Times New Roman" w:hAnsi="Times New Roman"/>
          <w:sz w:val="22"/>
          <w:szCs w:val="22"/>
          <w:color w:val="auto"/>
        </w:rPr>
        <w:t>Wilmington, DE 19801</w:t>
      </w:r>
    </w:p>
    <w:p>
      <w:pPr>
        <w:spacing w:after="0" w:line="1" w:lineRule="exact"/>
        <w:rPr>
          <w:sz w:val="20"/>
          <w:szCs w:val="20"/>
          <w:color w:val="auto"/>
        </w:rPr>
      </w:pPr>
    </w:p>
    <w:p>
      <w:pPr>
        <w:ind w:right="7079" w:firstLine="6"/>
        <w:spacing w:after="0" w:line="271" w:lineRule="auto"/>
        <w:tabs>
          <w:tab w:leader="none" w:pos="522"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574-3000 amy.dudash@morganlewis.com</w:t>
      </w:r>
    </w:p>
    <w:p>
      <w:pPr>
        <w:spacing w:after="0" w:line="16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1"/>
          <w:szCs w:val="21"/>
          <w:i w:val="1"/>
          <w:iCs w:val="1"/>
          <w:color w:val="auto"/>
        </w:rPr>
        <w:t>Attorneys for Appellee Trustees of the University of</w:t>
      </w:r>
    </w:p>
    <w:p>
      <w:pPr>
        <w:spacing w:after="0" w:line="3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i w:val="1"/>
          <w:iCs w:val="1"/>
          <w:color w:val="auto"/>
        </w:rPr>
        <w:t>Pennsylvania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205740</wp:posOffset>
            </wp:positionV>
            <wp:extent cx="7157720"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859"/>
          </w:cols>
          <w:pgMar w:left="600" w:top="1395" w:right="1440" w:bottom="1440" w:gutter="0" w:footer="0" w:header="0"/>
        </w:sectPr>
      </w:pPr>
    </w:p>
    <w:bookmarkStart w:id="68" w:name="page69"/>
    <w:bookmarkEnd w:id="6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Curran Simpson, certify that:</w:t>
      </w:r>
    </w:p>
    <w:p>
      <w:pPr>
        <w:spacing w:after="0" w:line="117" w:lineRule="exact"/>
        <w:rPr>
          <w:sz w:val="20"/>
          <w:szCs w:val="20"/>
          <w:color w:val="auto"/>
        </w:rPr>
      </w:pPr>
    </w:p>
    <w:p>
      <w:pPr>
        <w:ind w:left="360" w:hanging="352"/>
        <w:spacing w:after="0"/>
        <w:tabs>
          <w:tab w:leader="none" w:pos="3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REGENXBIO Inc.;</w:t>
      </w:r>
    </w:p>
    <w:p>
      <w:pPr>
        <w:spacing w:after="0" w:line="117" w:lineRule="exact"/>
        <w:rPr>
          <w:rFonts w:ascii="Times New Roman" w:cs="Times New Roman" w:eastAsia="Times New Roman" w:hAnsi="Times New Roman"/>
          <w:sz w:val="18"/>
          <w:szCs w:val="18"/>
          <w:color w:val="auto"/>
        </w:rPr>
      </w:pPr>
    </w:p>
    <w:p>
      <w:pPr>
        <w:ind w:left="520" w:right="280" w:hanging="512"/>
        <w:spacing w:after="0" w:line="266" w:lineRule="auto"/>
        <w:tabs>
          <w:tab w:leader="none" w:pos="371"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360" w:hanging="512"/>
        <w:spacing w:after="0" w:line="282" w:lineRule="auto"/>
        <w:tabs>
          <w:tab w:leader="none" w:pos="371"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371"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right="80" w:hanging="479"/>
        <w:spacing w:after="0" w:line="266" w:lineRule="auto"/>
        <w:tabs>
          <w:tab w:leader="none" w:pos="895"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479"/>
        <w:spacing w:after="0" w:line="266" w:lineRule="auto"/>
        <w:tabs>
          <w:tab w:leader="none" w:pos="895"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020" w:right="480" w:hanging="479"/>
        <w:spacing w:after="0" w:line="282" w:lineRule="auto"/>
        <w:tabs>
          <w:tab w:leader="none" w:pos="895"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140" w:hanging="479"/>
        <w:spacing w:after="0" w:line="266" w:lineRule="auto"/>
        <w:tabs>
          <w:tab w:leader="none" w:pos="895"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67" w:lineRule="exact"/>
        <w:rPr>
          <w:rFonts w:ascii="Times New Roman" w:cs="Times New Roman" w:eastAsia="Times New Roman" w:hAnsi="Times New Roman"/>
          <w:sz w:val="18"/>
          <w:szCs w:val="18"/>
          <w:color w:val="auto"/>
        </w:rPr>
      </w:pPr>
    </w:p>
    <w:p>
      <w:pPr>
        <w:ind w:left="520" w:right="280" w:hanging="512"/>
        <w:spacing w:after="0" w:line="282" w:lineRule="auto"/>
        <w:tabs>
          <w:tab w:leader="none" w:pos="371"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80" w:hanging="479"/>
        <w:spacing w:after="0" w:line="282" w:lineRule="auto"/>
        <w:tabs>
          <w:tab w:leader="none" w:pos="895"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0" w:hanging="479"/>
        <w:spacing w:after="0" w:line="282" w:lineRule="auto"/>
        <w:tabs>
          <w:tab w:leader="none" w:pos="895"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tabs>
          <w:tab w:leader="none" w:pos="7180" w:val="left"/>
        </w:tabs>
        <w:rPr>
          <w:sz w:val="20"/>
          <w:szCs w:val="20"/>
          <w:color w:val="auto"/>
        </w:rPr>
      </w:pPr>
      <w:r>
        <w:rPr>
          <w:rFonts w:ascii="Times New Roman" w:cs="Times New Roman" w:eastAsia="Times New Roman" w:hAnsi="Times New Roman"/>
          <w:sz w:val="18"/>
          <w:szCs w:val="18"/>
          <w:color w:val="auto"/>
        </w:rPr>
        <w:t>Date: November 5, 2026</w:t>
      </w:r>
      <w:r>
        <w:rPr>
          <w:sz w:val="20"/>
          <w:szCs w:val="20"/>
          <w:color w:val="auto"/>
        </w:rPr>
        <w:tab/>
      </w:r>
      <w:r>
        <w:rPr>
          <w:rFonts w:ascii="Times New Roman" w:cs="Times New Roman" w:eastAsia="Times New Roman" w:hAnsi="Times New Roman"/>
          <w:sz w:val="18"/>
          <w:szCs w:val="18"/>
          <w:color w:val="auto"/>
        </w:rPr>
        <w:t>/s/ Curran Simpson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22">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21"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b w:val="1"/>
          <w:bCs w:val="1"/>
          <w:color w:val="auto"/>
        </w:rPr>
        <w:t>Curran Simpson</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901700</wp:posOffset>
            </wp:positionV>
            <wp:extent cx="7157720"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9" w:name="page70"/>
    <w:bookmarkEnd w:id="6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Mitchell Chan, certify that:</w:t>
      </w:r>
    </w:p>
    <w:p>
      <w:pPr>
        <w:spacing w:after="0" w:line="117" w:lineRule="exact"/>
        <w:rPr>
          <w:sz w:val="20"/>
          <w:szCs w:val="20"/>
          <w:color w:val="auto"/>
        </w:rPr>
      </w:pPr>
    </w:p>
    <w:p>
      <w:pPr>
        <w:ind w:left="360" w:hanging="352"/>
        <w:spacing w:after="0"/>
        <w:tabs>
          <w:tab w:leader="none" w:pos="3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REGENXBIO Inc.;</w:t>
      </w:r>
    </w:p>
    <w:p>
      <w:pPr>
        <w:spacing w:after="0" w:line="117" w:lineRule="exact"/>
        <w:rPr>
          <w:rFonts w:ascii="Times New Roman" w:cs="Times New Roman" w:eastAsia="Times New Roman" w:hAnsi="Times New Roman"/>
          <w:sz w:val="18"/>
          <w:szCs w:val="18"/>
          <w:color w:val="auto"/>
        </w:rPr>
      </w:pPr>
    </w:p>
    <w:p>
      <w:pPr>
        <w:ind w:left="520" w:right="280" w:hanging="512"/>
        <w:spacing w:after="0" w:line="266" w:lineRule="auto"/>
        <w:tabs>
          <w:tab w:leader="none" w:pos="371"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360" w:hanging="512"/>
        <w:spacing w:after="0" w:line="282" w:lineRule="auto"/>
        <w:tabs>
          <w:tab w:leader="none" w:pos="371"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371"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right="80" w:hanging="479"/>
        <w:spacing w:after="0" w:line="266" w:lineRule="auto"/>
        <w:tabs>
          <w:tab w:leader="none" w:pos="895"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479"/>
        <w:spacing w:after="0" w:line="266" w:lineRule="auto"/>
        <w:tabs>
          <w:tab w:leader="none" w:pos="895"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020" w:right="480" w:hanging="479"/>
        <w:spacing w:after="0" w:line="282" w:lineRule="auto"/>
        <w:tabs>
          <w:tab w:leader="none" w:pos="895"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140" w:hanging="479"/>
        <w:spacing w:after="0" w:line="266" w:lineRule="auto"/>
        <w:tabs>
          <w:tab w:leader="none" w:pos="895"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67" w:lineRule="exact"/>
        <w:rPr>
          <w:rFonts w:ascii="Times New Roman" w:cs="Times New Roman" w:eastAsia="Times New Roman" w:hAnsi="Times New Roman"/>
          <w:sz w:val="18"/>
          <w:szCs w:val="18"/>
          <w:color w:val="auto"/>
        </w:rPr>
      </w:pPr>
    </w:p>
    <w:p>
      <w:pPr>
        <w:ind w:left="520" w:right="280" w:hanging="512"/>
        <w:spacing w:after="0" w:line="282" w:lineRule="auto"/>
        <w:tabs>
          <w:tab w:leader="none" w:pos="371"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80" w:hanging="479"/>
        <w:spacing w:after="0" w:line="282" w:lineRule="auto"/>
        <w:tabs>
          <w:tab w:leader="none" w:pos="895"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0" w:hanging="479"/>
        <w:spacing w:after="0" w:line="282" w:lineRule="auto"/>
        <w:tabs>
          <w:tab w:leader="none" w:pos="895"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tabs>
          <w:tab w:leader="none" w:pos="7180" w:val="left"/>
        </w:tabs>
        <w:rPr>
          <w:sz w:val="20"/>
          <w:szCs w:val="20"/>
          <w:color w:val="auto"/>
        </w:rPr>
      </w:pPr>
      <w:r>
        <w:rPr>
          <w:rFonts w:ascii="Times New Roman" w:cs="Times New Roman" w:eastAsia="Times New Roman" w:hAnsi="Times New Roman"/>
          <w:sz w:val="18"/>
          <w:szCs w:val="18"/>
          <w:color w:val="auto"/>
        </w:rPr>
        <w:t>Date: November 5, 2026</w:t>
      </w:r>
      <w:r>
        <w:rPr>
          <w:sz w:val="20"/>
          <w:szCs w:val="20"/>
          <w:color w:val="auto"/>
        </w:rPr>
        <w:tab/>
      </w:r>
      <w:r>
        <w:rPr>
          <w:rFonts w:ascii="Times New Roman" w:cs="Times New Roman" w:eastAsia="Times New Roman" w:hAnsi="Times New Roman"/>
          <w:sz w:val="18"/>
          <w:szCs w:val="18"/>
          <w:color w:val="auto"/>
        </w:rPr>
        <w:t>/s/ Mitchell Chan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4">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21"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b w:val="1"/>
          <w:bCs w:val="1"/>
          <w:color w:val="auto"/>
        </w:rPr>
        <w:t>Mitchell Chan</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901700</wp:posOffset>
            </wp:positionV>
            <wp:extent cx="7157720"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0" w:name="page71"/>
    <w:bookmarkEnd w:id="7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REGENXBIO Inc. (the “Registrant”) on Form 10-Q for the quarter ended September 30, 2026 as filed with the Securities and Exchange Commission on the date hereof (the “Report”), the undersigned, Curran Simpson, President, Chief Executive Officer and Director of the Registrant, and Mitchell Chan, Chief Financial Officer of the Registrant, certify, pursuant to 18 U.S.C. Section 1350, as adopted pursuant to Section 906 of the Sarbanes-Oxley Act of 2002, that to their respective knowledge:</w:t>
      </w:r>
    </w:p>
    <w:p>
      <w:pPr>
        <w:spacing w:after="0" w:line="72" w:lineRule="exact"/>
        <w:rPr>
          <w:sz w:val="20"/>
          <w:szCs w:val="20"/>
          <w:color w:val="auto"/>
        </w:rPr>
      </w:pPr>
    </w:p>
    <w:p>
      <w:pPr>
        <w:ind w:left="900" w:hanging="359"/>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020" w:right="680" w:hanging="479"/>
        <w:spacing w:after="0" w:line="282" w:lineRule="auto"/>
        <w:tabs>
          <w:tab w:leader="none" w:pos="89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Registrant.</w:t>
      </w:r>
    </w:p>
    <w:p>
      <w:pPr>
        <w:spacing w:after="0" w:line="189" w:lineRule="exact"/>
        <w:rPr>
          <w:sz w:val="20"/>
          <w:szCs w:val="20"/>
          <w:color w:val="auto"/>
        </w:rPr>
      </w:pPr>
    </w:p>
    <w:p>
      <w:pPr>
        <w:spacing w:after="0"/>
        <w:tabs>
          <w:tab w:leader="none" w:pos="6180" w:val="left"/>
        </w:tabs>
        <w:rPr>
          <w:sz w:val="20"/>
          <w:szCs w:val="20"/>
          <w:color w:val="auto"/>
        </w:rPr>
      </w:pPr>
      <w:r>
        <w:rPr>
          <w:rFonts w:ascii="Times New Roman" w:cs="Times New Roman" w:eastAsia="Times New Roman" w:hAnsi="Times New Roman"/>
          <w:sz w:val="18"/>
          <w:szCs w:val="18"/>
          <w:color w:val="auto"/>
        </w:rPr>
        <w:t>Date: November 5, 2026</w:t>
      </w:r>
      <w:r>
        <w:rPr>
          <w:sz w:val="20"/>
          <w:szCs w:val="20"/>
          <w:color w:val="auto"/>
        </w:rPr>
        <w:tab/>
      </w:r>
      <w:r>
        <w:rPr>
          <w:rFonts w:ascii="Times New Roman" w:cs="Times New Roman" w:eastAsia="Times New Roman" w:hAnsi="Times New Roman"/>
          <w:sz w:val="17"/>
          <w:szCs w:val="17"/>
          <w:color w:val="auto"/>
        </w:rPr>
        <w:t>/s/ Curran Simpson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Curran Simpson</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34" w:lineRule="exact"/>
        <w:rPr>
          <w:sz w:val="20"/>
          <w:szCs w:val="20"/>
          <w:color w:val="auto"/>
        </w:rPr>
      </w:pPr>
    </w:p>
    <w:p>
      <w:pPr>
        <w:spacing w:after="0"/>
        <w:tabs>
          <w:tab w:leader="none" w:pos="6180" w:val="left"/>
        </w:tabs>
        <w:rPr>
          <w:sz w:val="20"/>
          <w:szCs w:val="20"/>
          <w:color w:val="auto"/>
        </w:rPr>
      </w:pPr>
      <w:r>
        <w:rPr>
          <w:rFonts w:ascii="Times New Roman" w:cs="Times New Roman" w:eastAsia="Times New Roman" w:hAnsi="Times New Roman"/>
          <w:sz w:val="18"/>
          <w:szCs w:val="18"/>
          <w:color w:val="auto"/>
        </w:rPr>
        <w:t>Date: November 5, 2026</w:t>
      </w:r>
      <w:r>
        <w:rPr>
          <w:sz w:val="20"/>
          <w:szCs w:val="20"/>
          <w:color w:val="auto"/>
        </w:rPr>
        <w:tab/>
      </w:r>
      <w:r>
        <w:rPr>
          <w:rFonts w:ascii="Times New Roman" w:cs="Times New Roman" w:eastAsia="Times New Roman" w:hAnsi="Times New Roman"/>
          <w:sz w:val="17"/>
          <w:szCs w:val="17"/>
          <w:color w:val="auto"/>
        </w:rPr>
        <w:t>/s/ Mitchell Chan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Mitchell Chan</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p>
      <w:pPr>
        <w:spacing w:after="0" w:line="205"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8"/>
          <w:szCs w:val="18"/>
          <w:i w:val="1"/>
          <w:iCs w:val="1"/>
          <w:color w:val="auto"/>
        </w:rPr>
        <w:t>This certification is made solely for the purposes of 18 U.S.C. Section 1350, subject to the knowledge standard contained therein, and not for any other purpose. A signed original of this written statement required by Section 906 has been provided to the Registrant and will be retained by the Registrant and furnished to the United States Securities and Exchange Commission or its staff upon request</w:t>
      </w:r>
      <w:r>
        <w:rPr>
          <w:rFonts w:ascii="Times New Roman" w:cs="Times New Roman" w:eastAsia="Times New Roman" w:hAnsi="Times New Roman"/>
          <w:sz w:val="18"/>
          <w:szCs w:val="18"/>
          <w:color w:val="auto"/>
        </w:rPr>
        <w:t>.</w:t>
      </w:r>
    </w:p>
    <w:p>
      <w:pPr>
        <w:spacing w:after="0" w:line="173"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This certification accompanies the Form 10-Q to which it relates, is not deemed filed with the Securities and Exchange Commission and is not to be incorporated by reference into any filing of the Registrant under the Securities Act of 1933 or the Securities Exchange Act of 1934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607695</wp:posOffset>
            </wp:positionV>
            <wp:extent cx="7157720"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71" w:name="page72"/>
    <w:bookmarkEnd w:id="7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
      <w:numFmt w:val="bullet"/>
      <w:start w:val="1"/>
    </w:lvl>
  </w:abstractNum>
  <w:abstractNum w:abstractNumId="3">
    <w:nsid w:val="436C6125"/>
    <w:multiLevelType w:val="hybridMultilevel"/>
    <w:lvl w:ilvl="0">
      <w:lvlJc w:val="left"/>
      <w:lvlText w:val="•"/>
      <w:numFmt w:val="bullet"/>
      <w:start w:val="1"/>
    </w:lvl>
  </w:abstractNum>
  <w:abstractNum w:abstractNumId="4">
    <w:nsid w:val="628C895D"/>
    <w:multiLevelType w:val="hybridMultilevel"/>
    <w:lvl w:ilvl="0">
      <w:lvlJc w:val="left"/>
      <w:lvlText w:val="•"/>
      <w:numFmt w:val="bullet"/>
      <w:start w:val="1"/>
    </w:lvl>
  </w:abstractNum>
  <w:abstractNum w:abstractNumId="5">
    <w:nsid w:val="333AB105"/>
    <w:multiLevelType w:val="hybridMultilevel"/>
    <w:lvl w:ilvl="0">
      <w:lvlJc w:val="left"/>
      <w:lvlText w:val="%1."/>
      <w:numFmt w:val="decimal"/>
      <w:start w:val="8"/>
    </w:lvl>
  </w:abstractNum>
  <w:abstractNum w:abstractNumId="6">
    <w:nsid w:val="721DA317"/>
    <w:multiLevelType w:val="hybridMultilevel"/>
    <w:lvl w:ilvl="0">
      <w:lvlJc w:val="left"/>
      <w:lvlText w:val="(%1)"/>
      <w:numFmt w:val="lowerLetter"/>
      <w:start w:val="1"/>
    </w:lvl>
  </w:abstractNum>
  <w:abstractNum w:abstractNumId="7">
    <w:nsid w:val="2443A858"/>
    <w:multiLevelType w:val="hybridMultilevel"/>
    <w:lvl w:ilvl="0">
      <w:lvlJc w:val="left"/>
      <w:lvlText w:val="(%1)"/>
      <w:numFmt w:val="lowerLetter"/>
      <w:start w:val="1"/>
    </w:lvl>
  </w:abstractNum>
  <w:abstractNum w:abstractNumId="8">
    <w:nsid w:val="2D1D5AE9"/>
    <w:multiLevelType w:val="hybridMultilevel"/>
    <w:lvl w:ilvl="0">
      <w:lvlJc w:val="left"/>
      <w:lvlText w:val="%1."/>
      <w:numFmt w:val="decimal"/>
      <w:start w:val="15"/>
    </w:lvl>
  </w:abstractNum>
  <w:abstractNum w:abstractNumId="9">
    <w:nsid w:val="6763845E"/>
    <w:multiLevelType w:val="hybridMultilevel"/>
    <w:lvl w:ilvl="0">
      <w:lvlJc w:val="left"/>
      <w:lvlText w:val="•"/>
      <w:numFmt w:val="bullet"/>
      <w:start w:val="1"/>
    </w:lvl>
  </w:abstractNum>
  <w:abstractNum w:abstractNumId="10">
    <w:nsid w:val="75A2A8D4"/>
    <w:multiLevelType w:val="hybridMultilevel"/>
    <w:lvl w:ilvl="0">
      <w:lvlJc w:val="left"/>
      <w:lvlText w:val="•"/>
      <w:numFmt w:val="bullet"/>
      <w:start w:val="1"/>
    </w:lvl>
  </w:abstractNum>
  <w:abstractNum w:abstractNumId="11">
    <w:nsid w:val="8EDBDAB"/>
    <w:multiLevelType w:val="hybridMultilevel"/>
    <w:lvl w:ilvl="0">
      <w:lvlJc w:val="left"/>
      <w:lvlText w:val="•"/>
      <w:numFmt w:val="bullet"/>
      <w:start w:val="1"/>
    </w:lvl>
  </w:abstractNum>
  <w:abstractNum w:abstractNumId="12">
    <w:nsid w:val="79838CB2"/>
    <w:multiLevelType w:val="hybridMultilevel"/>
    <w:lvl w:ilvl="0">
      <w:lvlJc w:val="left"/>
      <w:lvlText w:val="•"/>
      <w:numFmt w:val="bullet"/>
      <w:start w:val="1"/>
    </w:lvl>
  </w:abstractNum>
  <w:abstractNum w:abstractNumId="13">
    <w:nsid w:val="4353D0CD"/>
    <w:multiLevelType w:val="hybridMultilevel"/>
    <w:lvl w:ilvl="0">
      <w:lvlJc w:val="left"/>
      <w:lvlText w:val="•"/>
      <w:numFmt w:val="bullet"/>
      <w:start w:val="1"/>
    </w:lvl>
  </w:abstractNum>
  <w:abstractNum w:abstractNumId="14">
    <w:nsid w:val="B03E0C6"/>
    <w:multiLevelType w:val="hybridMultilevel"/>
    <w:lvl w:ilvl="0">
      <w:lvlJc w:val="left"/>
      <w:lvlText w:val="(%1)"/>
      <w:numFmt w:val="lowerRoman"/>
      <w:start w:val="1"/>
    </w:lvl>
  </w:abstractNum>
  <w:abstractNum w:abstractNumId="15">
    <w:nsid w:val="189A769B"/>
    <w:multiLevelType w:val="hybridMultilevel"/>
    <w:lvl w:ilvl="0">
      <w:lvlJc w:val="left"/>
      <w:lvlText w:val="%1"/>
      <w:numFmt w:val="decimal"/>
      <w:start w:val="104"/>
    </w:lvl>
  </w:abstractNum>
  <w:abstractNum w:abstractNumId="16">
    <w:nsid w:val="54E49EB4"/>
    <w:multiLevelType w:val="hybridMultilevel"/>
    <w:lvl w:ilvl="0">
      <w:lvlJc w:val="left"/>
      <w:lvlText w:val="%1."/>
      <w:numFmt w:val="decimal"/>
      <w:start w:val="1"/>
    </w:lvl>
  </w:abstractNum>
  <w:abstractNum w:abstractNumId="17">
    <w:nsid w:val="71F32454"/>
    <w:multiLevelType w:val="hybridMultilevel"/>
    <w:lvl w:ilvl="0">
      <w:lvlJc w:val="left"/>
      <w:lvlText w:val="%1."/>
      <w:numFmt w:val="decimal"/>
      <w:start w:val="2"/>
    </w:lvl>
  </w:abstractNum>
  <w:abstractNum w:abstractNumId="18">
    <w:nsid w:val="2CA88611"/>
    <w:multiLevelType w:val="hybridMultilevel"/>
    <w:lvl w:ilvl="0">
      <w:lvlJc w:val="left"/>
      <w:lvlText w:val="%1."/>
      <w:numFmt w:val="decimal"/>
      <w:start w:val="5"/>
    </w:lvl>
  </w:abstractNum>
  <w:abstractNum w:abstractNumId="19">
    <w:nsid w:val="836C40E"/>
    <w:multiLevelType w:val="hybridMultilevel"/>
    <w:lvl w:ilvl="0">
      <w:lvlJc w:val="left"/>
      <w:lvlText w:val="%1."/>
      <w:numFmt w:val="decimal"/>
      <w:start w:val="6"/>
    </w:lvl>
    <w:lvl w:ilvl="1">
      <w:lvlJc w:val="left"/>
      <w:lvlText w:val="(%2)"/>
      <w:numFmt w:val="lowerLetter"/>
      <w:start w:val="1"/>
    </w:lvl>
  </w:abstractNum>
  <w:abstractNum w:abstractNumId="20">
    <w:nsid w:val="2901D82"/>
    <w:multiLevelType w:val="hybridMultilevel"/>
    <w:lvl w:ilvl="0">
      <w:lvlJc w:val="left"/>
      <w:lvlText w:val="(%1)"/>
      <w:numFmt w:val="lowerLetter"/>
      <w:start w:val="1"/>
    </w:lvl>
  </w:abstractNum>
  <w:abstractNum w:abstractNumId="21">
    <w:nsid w:val="3A95F874"/>
    <w:multiLevelType w:val="hybridMultilevel"/>
    <w:lvl w:ilvl="0">
      <w:lvlJc w:val="left"/>
      <w:lvlText w:val="(%1)"/>
      <w:numFmt w:val="lowerLetter"/>
      <w:start w:val="2"/>
    </w:lvl>
  </w:abstractNum>
  <w:abstractNum w:abstractNumId="22">
    <w:nsid w:val="8138641"/>
    <w:multiLevelType w:val="hybridMultilevel"/>
    <w:lvl w:ilvl="0">
      <w:lvlJc w:val="left"/>
      <w:lvlText w:val="(%1)"/>
      <w:numFmt w:val="lowerRoman"/>
      <w:start w:val="3"/>
    </w:lvl>
  </w:abstractNum>
  <w:abstractNum w:abstractNumId="23">
    <w:nsid w:val="1E7FF521"/>
    <w:multiLevelType w:val="hybridMultilevel"/>
    <w:lvl w:ilvl="0">
      <w:lvlJc w:val="left"/>
      <w:lvlText w:val="(%1)"/>
      <w:numFmt w:val="lowerRoman"/>
      <w:start w:val="5"/>
    </w:lvl>
  </w:abstractNum>
  <w:abstractNum w:abstractNumId="24">
    <w:nsid w:val="7C3DBD3D"/>
    <w:multiLevelType w:val="hybridMultilevel"/>
    <w:lvl w:ilvl="0">
      <w:lvlJc w:val="left"/>
      <w:lvlText w:val="%1."/>
      <w:numFmt w:val="decimal"/>
      <w:start w:val="7"/>
    </w:lvl>
    <w:lvl w:ilvl="1">
      <w:lvlJc w:val="left"/>
      <w:lvlText w:val="(%2)"/>
      <w:numFmt w:val="lowerLetter"/>
      <w:start w:val="3"/>
    </w:lvl>
  </w:abstractNum>
  <w:abstractNum w:abstractNumId="25">
    <w:nsid w:val="737B8DDC"/>
    <w:multiLevelType w:val="hybridMultilevel"/>
    <w:lvl w:ilvl="0">
      <w:lvlJc w:val="left"/>
      <w:lvlText w:val="%1."/>
      <w:numFmt w:val="decimal"/>
      <w:start w:val="8"/>
    </w:lvl>
  </w:abstractNum>
  <w:abstractNum w:abstractNumId="26">
    <w:nsid w:val="6CEAF087"/>
    <w:multiLevelType w:val="hybridMultilevel"/>
    <w:lvl w:ilvl="0">
      <w:lvlJc w:val="left"/>
      <w:lvlText w:val="%1."/>
      <w:numFmt w:val="decimal"/>
      <w:start w:val="9"/>
    </w:lvl>
  </w:abstractNum>
  <w:abstractNum w:abstractNumId="27">
    <w:nsid w:val="22221A70"/>
    <w:multiLevelType w:val="hybridMultilevel"/>
    <w:lvl w:ilvl="0">
      <w:lvlJc w:val="left"/>
      <w:lvlText w:val="(%1)"/>
      <w:numFmt w:val="lowerLetter"/>
      <w:start w:val="3"/>
    </w:lvl>
  </w:abstractNum>
  <w:abstractNum w:abstractNumId="28">
    <w:nsid w:val="4516DDE9"/>
    <w:multiLevelType w:val="hybridMultilevel"/>
    <w:lvl w:ilvl="0">
      <w:lvlJc w:val="left"/>
      <w:lvlText w:val="(%1)"/>
      <w:numFmt w:val="decimal"/>
      <w:start w:val="302"/>
    </w:lvl>
  </w:abstractNum>
  <w:abstractNum w:abstractNumId="29">
    <w:nsid w:val="3006C83E"/>
    <w:multiLevelType w:val="hybridMultilevel"/>
    <w:lvl w:ilvl="0">
      <w:lvlJc w:val="left"/>
      <w:lvlText w:val="(%1)"/>
      <w:numFmt w:val="lowerLetter"/>
      <w:start w:val="3"/>
    </w:lvl>
  </w:abstractNum>
  <w:abstractNum w:abstractNumId="30">
    <w:nsid w:val="614FD4A1"/>
    <w:multiLevelType w:val="hybridMultilevel"/>
    <w:lvl w:ilvl="0">
      <w:lvlJc w:val="left"/>
      <w:lvlText w:val="(%1)"/>
      <w:numFmt w:val="decimal"/>
      <w:start w:val="302"/>
    </w:lvl>
  </w:abstractNum>
  <w:abstractNum w:abstractNumId="31">
    <w:nsid w:val="419AC241"/>
    <w:multiLevelType w:val="hybridMultilevel"/>
    <w:lvl w:ilvl="0">
      <w:lvlJc w:val="left"/>
      <w:lvlText w:val="(%1)"/>
      <w:numFmt w:val="decimal"/>
      <w:start w:val="302"/>
    </w:lvl>
  </w:abstractNum>
  <w:abstractNum w:abstractNumId="32">
    <w:nsid w:val="5577F8E1"/>
    <w:multiLevelType w:val="hybridMultilevel"/>
    <w:lvl w:ilvl="0">
      <w:lvlJc w:val="left"/>
      <w:lvlText w:val="(%1)"/>
      <w:numFmt w:val="decimal"/>
      <w:start w:val="302"/>
    </w:lvl>
  </w:abstractNum>
  <w:abstractNum w:abstractNumId="33">
    <w:nsid w:val="440BADFC"/>
    <w:multiLevelType w:val="hybridMultilevel"/>
    <w:lvl w:ilvl="0">
      <w:lvlJc w:val="left"/>
      <w:lvlText w:val="(%1)"/>
      <w:numFmt w:val="decimal"/>
      <w:start w:val="302"/>
    </w:lvl>
  </w:abstractNum>
  <w:abstractNum w:abstractNumId="34">
    <w:nsid w:val="5072367"/>
    <w:multiLevelType w:val="hybridMultilevel"/>
    <w:lvl w:ilvl="0">
      <w:lvlJc w:val="left"/>
      <w:lvlText w:val="%1."/>
      <w:numFmt w:val="decimal"/>
      <w:start w:val="1"/>
    </w:lvl>
    <w:lvl w:ilvl="1">
      <w:lvlJc w:val="left"/>
      <w:lvlText w:val="%2."/>
      <w:numFmt w:val="lowerLetter"/>
      <w:start w:val="1"/>
    </w:lvl>
  </w:abstractNum>
  <w:abstractNum w:abstractNumId="35">
    <w:nsid w:val="3804823E"/>
    <w:multiLevelType w:val="hybridMultilevel"/>
    <w:lvl w:ilvl="0">
      <w:lvlJc w:val="left"/>
      <w:lvlText w:val="%1."/>
      <w:numFmt w:val="decimal"/>
      <w:start w:val="1"/>
    </w:lvl>
    <w:lvl w:ilvl="1">
      <w:lvlJc w:val="left"/>
      <w:lvlText w:val="%2."/>
      <w:numFmt w:val="lowerLetter"/>
      <w:start w:val="1"/>
    </w:lvl>
  </w:abstractNum>
  <w:abstractNum w:abstractNumId="36">
    <w:nsid w:val="77465F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9" Type="http://schemas.openxmlformats.org/officeDocument/2006/relationships/image" Target="media/image379.png"/><Relationship Id="rId390" Type="http://schemas.openxmlformats.org/officeDocument/2006/relationships/image" Target="media/image380.png"/><Relationship Id="rId391" Type="http://schemas.openxmlformats.org/officeDocument/2006/relationships/image" Target="media/image381.png"/><Relationship Id="rId392" Type="http://schemas.openxmlformats.org/officeDocument/2006/relationships/image" Target="media/image382.png"/><Relationship Id="rId393" Type="http://schemas.openxmlformats.org/officeDocument/2006/relationships/image" Target="media/image383.png"/><Relationship Id="rId394" Type="http://schemas.openxmlformats.org/officeDocument/2006/relationships/image" Target="media/image384.png"/><Relationship Id="rId395" Type="http://schemas.openxmlformats.org/officeDocument/2006/relationships/image" Target="media/image385.png"/><Relationship Id="rId396" Type="http://schemas.openxmlformats.org/officeDocument/2006/relationships/image" Target="media/image386.png"/><Relationship Id="rId397" Type="http://schemas.openxmlformats.org/officeDocument/2006/relationships/image" Target="media/image387.png"/><Relationship Id="rId398" Type="http://schemas.openxmlformats.org/officeDocument/2006/relationships/image" Target="media/image388.png"/><Relationship Id="rId399" Type="http://schemas.openxmlformats.org/officeDocument/2006/relationships/image" Target="media/image389.png"/><Relationship Id="rId400" Type="http://schemas.openxmlformats.org/officeDocument/2006/relationships/image" Target="media/image390.png"/><Relationship Id="rId401" Type="http://schemas.openxmlformats.org/officeDocument/2006/relationships/image" Target="media/image391.png"/><Relationship Id="rId402" Type="http://schemas.openxmlformats.org/officeDocument/2006/relationships/image" Target="media/image392.png"/><Relationship Id="rId403" Type="http://schemas.openxmlformats.org/officeDocument/2006/relationships/image" Target="media/image393.png"/><Relationship Id="rId404" Type="http://schemas.openxmlformats.org/officeDocument/2006/relationships/image" Target="media/image394.png"/><Relationship Id="rId405" Type="http://schemas.openxmlformats.org/officeDocument/2006/relationships/image" Target="media/image395.png"/><Relationship Id="rId406" Type="http://schemas.openxmlformats.org/officeDocument/2006/relationships/image" Target="media/image396.png"/><Relationship Id="rId407" Type="http://schemas.openxmlformats.org/officeDocument/2006/relationships/image" Target="media/image397.png"/><Relationship Id="rId408" Type="http://schemas.openxmlformats.org/officeDocument/2006/relationships/image" Target="media/image398.png"/><Relationship Id="rId409" Type="http://schemas.openxmlformats.org/officeDocument/2006/relationships/image" Target="media/image399.png"/><Relationship Id="rId410" Type="http://schemas.openxmlformats.org/officeDocument/2006/relationships/image" Target="media/image400.png"/><Relationship Id="rId411" Type="http://schemas.openxmlformats.org/officeDocument/2006/relationships/image" Target="media/image401.png"/><Relationship Id="rId412" Type="http://schemas.openxmlformats.org/officeDocument/2006/relationships/image" Target="media/image402.png"/><Relationship Id="rId413" Type="http://schemas.openxmlformats.org/officeDocument/2006/relationships/image" Target="media/image403.png"/><Relationship Id="rId414" Type="http://schemas.openxmlformats.org/officeDocument/2006/relationships/image" Target="media/image404.png"/><Relationship Id="rId415" Type="http://schemas.openxmlformats.org/officeDocument/2006/relationships/image" Target="media/image405.png"/><Relationship Id="rId416" Type="http://schemas.openxmlformats.org/officeDocument/2006/relationships/image" Target="media/image406.png"/><Relationship Id="rId417" Type="http://schemas.openxmlformats.org/officeDocument/2006/relationships/image" Target="media/image407.png"/><Relationship Id="rId418" Type="http://schemas.openxmlformats.org/officeDocument/2006/relationships/image" Target="media/image408.png"/><Relationship Id="rId419" Type="http://schemas.openxmlformats.org/officeDocument/2006/relationships/image" Target="media/image409.png"/><Relationship Id="rId420" Type="http://schemas.openxmlformats.org/officeDocument/2006/relationships/image" Target="media/image410.png"/><Relationship Id="rId421" Type="http://schemas.openxmlformats.org/officeDocument/2006/relationships/image" Target="media/image411.png"/><Relationship Id="rId422" Type="http://schemas.openxmlformats.org/officeDocument/2006/relationships/image" Target="media/image412.png"/><Relationship Id="rId423" Type="http://schemas.openxmlformats.org/officeDocument/2006/relationships/image" Target="media/image413.png"/><Relationship Id="rId424" Type="http://schemas.openxmlformats.org/officeDocument/2006/relationships/image" Target="media/image414.png"/><Relationship Id="rId425" Type="http://schemas.openxmlformats.org/officeDocument/2006/relationships/image" Target="media/image415.png"/><Relationship Id="rId426" Type="http://schemas.openxmlformats.org/officeDocument/2006/relationships/image" Target="media/image416.png"/><Relationship Id="rId427" Type="http://schemas.openxmlformats.org/officeDocument/2006/relationships/image" Target="media/image417.png"/><Relationship Id="rId428" Type="http://schemas.openxmlformats.org/officeDocument/2006/relationships/image" Target="media/image418.png"/><Relationship Id="rId386" Type="http://schemas.openxmlformats.org/officeDocument/2006/relationships/hyperlink" Target="https://www.sec.gov/Archives/edgar/data/0001590877/000156459021031957/rgnx-ex31_42.htm" TargetMode="External"/><Relationship Id="rId387" Type="http://schemas.openxmlformats.org/officeDocument/2006/relationships/hyperlink" Target="https://www.sec.gov/Archives/edgar/data/1590877/000119312526094013/rgnx-ex3_2.htm" TargetMode="External"/><Relationship Id="rId388" Type="http://schemas.openxmlformats.org/officeDocument/2006/relationships/hyperlink" Target="https://www.sec.gov/Archives/edgar/data/1590877/000119312526308342/d40931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2026-11-05T06:24:47Z</dcterms:created>
  <dcterms:modified xsi:type="dcterms:W3CDTF">2026-11-05T06:24:47Z</dcterms:modified>
</cp:coreProperties>
</file>