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140" w:firstLine="749"/>
        <w:spacing w:after="0" w:line="222" w:lineRule="exact"/>
        <w:rPr>
          <w:sz w:val="20"/>
          <w:szCs w:val="20"/>
          <w:color w:val="auto"/>
        </w:rPr>
      </w:pPr>
      <w:r>
        <w:rPr>
          <w:rFonts w:ascii="Times New Roman" w:cs="Times New Roman" w:eastAsia="Times New Roman" w:hAnsi="Times New Roman"/>
          <w:sz w:val="18"/>
          <w:szCs w:val="18"/>
          <w:color w:val="auto"/>
        </w:rPr>
        <w:t>On November 6, 2025, REGENXBIO Inc. (the “Company”) issued a press release regarding its results of operations and financial condition for the quarter ended September 30, 2025.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by reference herein.</w:t>
      </w:r>
    </w:p>
    <w:p>
      <w:pPr>
        <w:spacing w:after="0" w:line="158"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2.02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8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November 6, 2025 relating to REGENXBIO Inc.’s financial results.</w:t>
            </w:r>
          </w:p>
        </w:tc>
        <w:tc>
          <w:tcPr>
            <w:tcW w:w="20" w:type="dxa"/>
            <w:vAlign w:val="bottom"/>
            <w:tcBorders>
              <w:top w:val="single" w:sz="8" w:color="auto"/>
              <w:bottom w:val="single" w:sz="8" w:color="0000EE"/>
            </w:tcBorders>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Reports Third Quarter 2025 Financial Results and Operational Highlights</w:t>
      </w:r>
    </w:p>
    <w:p>
      <w:pPr>
        <w:spacing w:after="0" w:line="204" w:lineRule="exact"/>
        <w:rPr>
          <w:sz w:val="20"/>
          <w:szCs w:val="20"/>
          <w:color w:val="auto"/>
        </w:rPr>
      </w:pPr>
    </w:p>
    <w:p>
      <w:pPr>
        <w:ind w:left="1140" w:right="20" w:hanging="383"/>
        <w:spacing w:after="0" w:line="234" w:lineRule="auto"/>
        <w:tabs>
          <w:tab w:leader="none" w:pos="11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RGX-202 program for Duchenne muscular dystrophy advancing rapidly, topline results expected early Q2 2026 and BLA submission mid-2026</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i w:val="1"/>
          <w:iCs w:val="1"/>
          <w:color w:val="auto"/>
        </w:rPr>
        <w:t>Pivotal trial enrollment completed in October; confirmatory trial open and enrolling</w:t>
      </w:r>
    </w:p>
    <w:p>
      <w:pPr>
        <w:spacing w:after="0" w:line="10" w:lineRule="exact"/>
        <w:rPr>
          <w:rFonts w:ascii="Times New Roman" w:cs="Times New Roman" w:eastAsia="Times New Roman" w:hAnsi="Times New Roman"/>
          <w:sz w:val="18"/>
          <w:szCs w:val="18"/>
          <w:color w:val="auto"/>
        </w:rPr>
      </w:pPr>
    </w:p>
    <w:p>
      <w:pPr>
        <w:ind w:left="1880" w:right="160" w:hanging="374"/>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i w:val="1"/>
          <w:iCs w:val="1"/>
          <w:color w:val="auto"/>
        </w:rPr>
        <w:t>New 12-month analysis shows all participants demonstrate improved functional outcomes across multiple</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natural history methods of measurement, when decline is expected</w:t>
      </w:r>
    </w:p>
    <w:p>
      <w:pPr>
        <w:ind w:left="1140" w:right="60" w:hanging="383"/>
        <w:spacing w:after="0" w:line="225" w:lineRule="auto"/>
        <w:tabs>
          <w:tab w:leader="none" w:pos="11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Clemidsogene lanparvovec (RGX-121) on track to be first gene therapy and one-time treatment for MPS II; PDUFA date February 8, 2026</w:t>
      </w: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Surabgene lomparvovec (sura-vec, ABBV-RGX-314) on track to be first gene therapy for chronic retinal disease</w:t>
      </w:r>
    </w:p>
    <w:p>
      <w:pPr>
        <w:ind w:left="1880" w:right="300" w:hanging="375"/>
        <w:spacing w:after="0" w:line="225" w:lineRule="auto"/>
        <w:tabs>
          <w:tab w:leader="none" w:pos="188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Enrollment completed in pivotal trials evaluating subretinal delivery of sura-vec in wet AMD; topline data expected Q4 2026</w:t>
      </w:r>
    </w:p>
    <w:p>
      <w:pPr>
        <w:ind w:left="1880" w:right="660" w:hanging="375"/>
        <w:spacing w:after="0" w:line="225" w:lineRule="auto"/>
        <w:tabs>
          <w:tab w:leader="none" w:pos="188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Sura-vec for diabetic retinopathy using suprachoroidal delivery advancing to global pivotal program, supported by positive 2-year Phase II trial data</w:t>
      </w: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Conference call today at 8:00 a.m. ET</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ROCKVILLE, Md., November 6, 2025 (PR Newswire) -- REGENXBIO Inc. (Nasdaq: RGNX) today reported financial results and operational highlights for the third quarter ended September 30, 2025.</w:t>
      </w:r>
    </w:p>
    <w:p>
      <w:pPr>
        <w:spacing w:after="0" w:line="155"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positive data and significant clinical milestones achieved across each of our late-stage programs underscore the meaningful progress we’re making towards delivering potentially transformative gene therapies,” said Curran M. Simpson, President and Chief Executive Officer of REGENXBIO. “Our strong momentum is driven by our differentiated, in-house end-to-end capabilities, including commercial-ready manufacturing with capacity to seize blockbuster opportunities, and a deep commitment to improve the lives of patients with Duchenne, Hunter syndrome, wet AMD and diabetic retinopathy. With the rapid advancement of our programs and leading technology platform, we are well-positioned to become a commercial company early next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HIGHLIGHTS AND MILESTONES</w:t>
      </w:r>
    </w:p>
    <w:p>
      <w:pPr>
        <w:spacing w:after="0" w:line="202"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b w:val="1"/>
          <w:bCs w:val="1"/>
          <w:color w:val="auto"/>
        </w:rPr>
        <w:t xml:space="preserve">Neuromuscular Disease: </w:t>
      </w:r>
      <w:r>
        <w:rPr>
          <w:rFonts w:ascii="Arial" w:cs="Arial" w:eastAsia="Arial" w:hAnsi="Arial"/>
          <w:sz w:val="19"/>
          <w:szCs w:val="19"/>
          <w:color w:val="auto"/>
        </w:rPr>
        <w:t>RGX-202 is a potential best-in-class gene therapy for Duchenne muscular dystrophy (Duchenne).</w:t>
      </w:r>
      <w:r>
        <w:rPr>
          <w:rFonts w:ascii="Arial" w:cs="Arial" w:eastAsia="Arial" w:hAnsi="Arial"/>
          <w:sz w:val="19"/>
          <w:szCs w:val="19"/>
          <w:b w:val="1"/>
          <w:bCs w:val="1"/>
          <w:color w:val="auto"/>
        </w:rPr>
        <w:t xml:space="preserve"> </w:t>
      </w:r>
      <w:r>
        <w:rPr>
          <w:rFonts w:ascii="Arial" w:cs="Arial" w:eastAsia="Arial" w:hAnsi="Arial"/>
          <w:sz w:val="19"/>
          <w:szCs w:val="19"/>
          <w:color w:val="auto"/>
        </w:rPr>
        <w:t>RGX-202 is designed to address the underlying cause of Duchenne by enabling targeted expression of a novel microdystrophin that is closest to naturally occurring dystrophin. It is the only microdystrophin that includes the C-Terminal domain, which has been shown to protect and preserve muscle function. The differentiated therapeutic approach behind RGX-202, including the novel construct, a proactive immune suppression regimen, and suspension-based manufacturing process delivering industry-leading product purity levels, is designed for improved muscle function, durability and safety outcomes for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60" w:right="120" w:hanging="378"/>
        <w:spacing w:after="0" w:line="220" w:lineRule="auto"/>
        <w:tabs>
          <w:tab w:leader="none" w:pos="76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Enrollment in the AFFINITY DUCHENNE</w:t>
      </w:r>
      <w:r>
        <w:rPr>
          <w:rFonts w:ascii="Arial" w:cs="Arial" w:eastAsia="Arial" w:hAnsi="Arial"/>
          <w:sz w:val="25"/>
          <w:szCs w:val="25"/>
          <w:color w:val="auto"/>
          <w:vertAlign w:val="superscript"/>
        </w:rPr>
        <w:t>®</w:t>
      </w:r>
      <w:r>
        <w:rPr>
          <w:rFonts w:ascii="Arial" w:cs="Arial" w:eastAsia="Arial" w:hAnsi="Arial"/>
          <w:sz w:val="19"/>
          <w:szCs w:val="19"/>
          <w:color w:val="auto"/>
        </w:rPr>
        <w:t xml:space="preserve"> pivotal trial of RGX-202 was completed in October (n=30). The confirmatory study will continue enrolling ambulatory patients aged 1+ in the U.S. and Canada, with full clinical supply available.</w:t>
      </w:r>
    </w:p>
    <w:p>
      <w:pPr>
        <w:spacing w:after="0" w:line="2" w:lineRule="exact"/>
        <w:rPr>
          <w:rFonts w:ascii="Times New Roman" w:cs="Times New Roman" w:eastAsia="Times New Roman" w:hAnsi="Times New Roman"/>
          <w:sz w:val="19"/>
          <w:szCs w:val="19"/>
          <w:color w:val="auto"/>
        </w:rPr>
      </w:pPr>
    </w:p>
    <w:p>
      <w:pPr>
        <w:ind w:left="760" w:right="60" w:hanging="378"/>
        <w:spacing w:after="0" w:line="22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New analysis of the positive Phase I/II data reported in June were presented at the International Congress of the World Muscle Society in October and showed individual patient improvement on the North Star Ambulatory Assessment (NSAA) using the established cTAP disease progression model from the Collaborative Trajectory Analysis Project. These results add to the multiple methods evaluating RGX-202 at 12 months post-dosing that demonstrate meaningful functional improvements compared to expected disease trajectory, further supporting the potential of RGX-202 to serve as a differentiated, best-in-class gene therapy.</w:t>
      </w:r>
    </w:p>
    <w:p>
      <w:pPr>
        <w:spacing w:after="0" w:line="2" w:lineRule="exact"/>
        <w:rPr>
          <w:rFonts w:ascii="Times New Roman" w:cs="Times New Roman" w:eastAsia="Times New Roman" w:hAnsi="Times New Roman"/>
          <w:sz w:val="18"/>
          <w:szCs w:val="18"/>
          <w:color w:val="auto"/>
        </w:rPr>
      </w:pPr>
    </w:p>
    <w:p>
      <w:pPr>
        <w:ind w:left="760" w:right="140" w:hanging="378"/>
        <w:spacing w:after="0" w:line="22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has manufactured the first batches of RGX-202 intended for commercial supply at its in-house Manufacturing Innovation Center and expects to imminently complete its Process Performance Qualification campaign in support of an expected commercial launch in 2027, when the vast majority of the prevalent market is expected to be available.</w:t>
      </w:r>
    </w:p>
    <w:p>
      <w:pPr>
        <w:spacing w:after="0" w:line="1" w:lineRule="exact"/>
        <w:rPr>
          <w:rFonts w:ascii="Times New Roman" w:cs="Times New Roman" w:eastAsia="Times New Roman" w:hAnsi="Times New Roman"/>
          <w:sz w:val="18"/>
          <w:szCs w:val="18"/>
          <w:color w:val="auto"/>
        </w:rPr>
      </w:pPr>
    </w:p>
    <w:p>
      <w:pPr>
        <w:ind w:left="760" w:right="300" w:hanging="378"/>
        <w:spacing w:after="0" w:line="239"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expects to share topline data in early Q2 2026 and submit a Biologics License Application (BLA) under the accelerated approval pathway in mid-2026.</w:t>
      </w:r>
    </w:p>
    <w:p>
      <w:pPr>
        <w:spacing w:after="0" w:line="170" w:lineRule="exact"/>
        <w:rPr>
          <w:sz w:val="20"/>
          <w:szCs w:val="20"/>
          <w:color w:val="auto"/>
        </w:rPr>
      </w:pPr>
    </w:p>
    <w:p>
      <w:pPr>
        <w:ind w:right="540"/>
        <w:spacing w:after="0" w:line="235" w:lineRule="auto"/>
        <w:rPr>
          <w:sz w:val="20"/>
          <w:szCs w:val="20"/>
          <w:color w:val="auto"/>
        </w:rPr>
      </w:pPr>
      <w:r>
        <w:rPr>
          <w:rFonts w:ascii="Arial" w:cs="Arial" w:eastAsia="Arial" w:hAnsi="Arial"/>
          <w:sz w:val="20"/>
          <w:szCs w:val="20"/>
          <w:b w:val="1"/>
          <w:bCs w:val="1"/>
          <w:color w:val="auto"/>
        </w:rPr>
        <w:t xml:space="preserve">Neurodegenerative Disease: </w:t>
      </w:r>
      <w:r>
        <w:rPr>
          <w:rFonts w:ascii="Arial" w:cs="Arial" w:eastAsia="Arial" w:hAnsi="Arial"/>
          <w:sz w:val="20"/>
          <w:szCs w:val="20"/>
          <w:color w:val="auto"/>
        </w:rPr>
        <w:t>Clemidsogene lanparvovec (RGX-121) is a potential first-in-class treatment for MPS II, also</w:t>
      </w:r>
      <w:r>
        <w:rPr>
          <w:rFonts w:ascii="Arial" w:cs="Arial" w:eastAsia="Arial" w:hAnsi="Arial"/>
          <w:sz w:val="20"/>
          <w:szCs w:val="20"/>
          <w:b w:val="1"/>
          <w:bCs w:val="1"/>
          <w:color w:val="auto"/>
        </w:rPr>
        <w:t xml:space="preserve"> </w:t>
      </w:r>
      <w:r>
        <w:rPr>
          <w:rFonts w:ascii="Arial" w:cs="Arial" w:eastAsia="Arial" w:hAnsi="Arial"/>
          <w:sz w:val="20"/>
          <w:szCs w:val="20"/>
          <w:color w:val="auto"/>
        </w:rPr>
        <w:t>known as Hunter syndrome, being developed and potentially commercialized in partnership with Nippon Shinyaku.</w:t>
      </w:r>
    </w:p>
    <w:p>
      <w:pPr>
        <w:spacing w:after="0" w:line="2" w:lineRule="exact"/>
        <w:rPr>
          <w:sz w:val="20"/>
          <w:szCs w:val="20"/>
          <w:color w:val="auto"/>
        </w:rPr>
      </w:pPr>
    </w:p>
    <w:p>
      <w:pPr>
        <w:ind w:left="760" w:right="140" w:hanging="378"/>
        <w:spacing w:after="0" w:line="225"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 September, REGENXBIO presented 12-month pivotal data that were submitted to the U.S. Food and Drug Administration (FDA) in response to an information request in the ongoing BLA review of RGX-121. These data further demonstrated the ability of one-time RGX-121 treatment to improve outcomes for patients with MPS II.</w:t>
      </w:r>
    </w:p>
    <w:p>
      <w:pPr>
        <w:ind w:left="1500" w:right="220" w:hanging="374"/>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More than 80% reduction in CSF levels of HS D2S6, a key biomarker of MPS II brain disease, was sustained</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through 1 year.</w:t>
      </w:r>
    </w:p>
    <w:p>
      <w:pPr>
        <w:spacing w:after="0" w:line="1" w:lineRule="exact"/>
        <w:rPr>
          <w:rFonts w:ascii="Times New Roman" w:cs="Times New Roman" w:eastAsia="Times New Roman" w:hAnsi="Times New Roman"/>
          <w:sz w:val="20"/>
          <w:szCs w:val="20"/>
          <w:color w:val="auto"/>
        </w:rPr>
      </w:pPr>
    </w:p>
    <w:p>
      <w:pPr>
        <w:ind w:left="1500" w:hanging="374"/>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Strong correlation between HS D2S6 levels and neurodevelopmental outcomes at 1 year, supporting the use of</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CSF HS D2S6 as a surrogate endpoint that is reasonably likely to predict clinical benefit in MPS II disease under the accelerated approval pathway.</w:t>
      </w:r>
    </w:p>
    <w:p>
      <w:pPr>
        <w:spacing w:after="0" w:line="1" w:lineRule="exact"/>
        <w:rPr>
          <w:rFonts w:ascii="Times New Roman" w:cs="Times New Roman" w:eastAsia="Times New Roman" w:hAnsi="Times New Roman"/>
          <w:sz w:val="20"/>
          <w:szCs w:val="20"/>
          <w:color w:val="auto"/>
        </w:rPr>
      </w:pPr>
    </w:p>
    <w:p>
      <w:pPr>
        <w:ind w:left="760" w:right="460" w:hanging="378"/>
        <w:spacing w:after="0" w:line="239"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FDA PDUFA date is February 8, 2026. FDA approval would result in receipt of a Priority Review Voucher (PRV), to which REGENXBIO has full rights.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b w:val="1"/>
          <w:bCs w:val="1"/>
          <w:color w:val="auto"/>
        </w:rPr>
        <w:t xml:space="preserve">Retinal Disease: </w:t>
      </w:r>
      <w:r>
        <w:rPr>
          <w:rFonts w:ascii="Arial" w:cs="Arial" w:eastAsia="Arial" w:hAnsi="Arial"/>
          <w:sz w:val="20"/>
          <w:szCs w:val="20"/>
          <w:color w:val="auto"/>
        </w:rPr>
        <w:t>Surabgene lomparvovec (sura-vec, ABBV-RGX-314), developed in collaboration with AbbVie, is potentially</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first-in-class treatment for wet age-related macular degeneration (wet AMD) and diabetic retinopathy (DR).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(Subretinal Delivery)</w:t>
      </w:r>
    </w:p>
    <w:p>
      <w:pPr>
        <w:spacing w:after="0" w:line="9" w:lineRule="exact"/>
        <w:rPr>
          <w:sz w:val="20"/>
          <w:szCs w:val="20"/>
          <w:color w:val="auto"/>
        </w:rPr>
      </w:pPr>
    </w:p>
    <w:p>
      <w:pPr>
        <w:ind w:left="760" w:right="120" w:hanging="378"/>
        <w:spacing w:after="0" w:line="205"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Enrollment of more than 1,200 participants in the in the ATMOSPHERE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ASCENT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pivotal trials was completed in October, representing the largest global gene therapy program ever conducted.</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Topline results are expected in Q4 2026. Sura-vec is on track to be the first approved gene therapy for wet AMD.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DR (Suprachoroidal Delivery)</w:t>
      </w:r>
    </w:p>
    <w:p>
      <w:pPr>
        <w:spacing w:after="0" w:line="4" w:lineRule="exact"/>
        <w:rPr>
          <w:sz w:val="20"/>
          <w:szCs w:val="20"/>
          <w:color w:val="auto"/>
        </w:rPr>
      </w:pPr>
    </w:p>
    <w:p>
      <w:pPr>
        <w:ind w:left="760" w:right="560" w:hanging="378"/>
        <w:spacing w:after="0" w:line="239"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will initiate a two-part sham injection-controlled Phase IIb/III trial; the primary endpoint will be 2-step DRSS improvement. Site selection is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5" w:name="page6"/>
    <w:bookmarkEnd w:id="5"/>
    <w:p>
      <w:pPr>
        <w:ind w:left="760" w:right="28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The pivotal program is supported by the durable safety and efficacy profile observed in patients with non-proliferative DR through two years in the Phase II ALTITUDE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(Suprachoroidal Delivery</w:t>
      </w:r>
      <w:r>
        <w:rPr>
          <w:rFonts w:ascii="Arial" w:cs="Arial" w:eastAsia="Arial" w:hAnsi="Arial"/>
          <w:sz w:val="20"/>
          <w:szCs w:val="20"/>
          <w:color w:val="auto"/>
        </w:rPr>
        <w:t>)</w:t>
      </w:r>
    </w:p>
    <w:p>
      <w:pPr>
        <w:spacing w:after="0" w:line="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20"/>
          <w:szCs w:val="20"/>
          <w:color w:val="auto"/>
        </w:rPr>
        <w:t>The Phase II AAVIATE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 continues enrolling a cohort to evaluate sura-vec at Dose Level 4 (1.5x10e12 GC/eye).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i w:val="1"/>
          <w:iCs w:val="1"/>
          <w:color w:val="auto"/>
        </w:rPr>
        <w:t xml:space="preserve">Cash Position: </w:t>
      </w:r>
      <w:r>
        <w:rPr>
          <w:rFonts w:ascii="Arial" w:cs="Arial" w:eastAsia="Arial" w:hAnsi="Arial"/>
          <w:sz w:val="20"/>
          <w:szCs w:val="20"/>
          <w:color w:val="auto"/>
        </w:rPr>
        <w:t>Cash, cash equivalents and marketable securities were $302.0 million as of September 30, 2025,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$244.9 million as of December 31, 2024. The increase was primarily attributable to the $110.0 million upfront payment received under the Nippon Shinyaku partnership in March 2025 and $144.5 million in net proceeds received from the royalty monetization with HCRx in May 2025, and was partially offset by cash used to fund operating activities during the nine months ended September 30, 2025.</w:t>
      </w:r>
    </w:p>
    <w:p>
      <w:pPr>
        <w:spacing w:after="0" w:line="171"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i w:val="1"/>
          <w:iCs w:val="1"/>
          <w:color w:val="auto"/>
        </w:rPr>
        <w:t xml:space="preserve">Revenues: </w:t>
      </w:r>
      <w:r>
        <w:rPr>
          <w:rFonts w:ascii="Arial" w:cs="Arial" w:eastAsia="Arial" w:hAnsi="Arial"/>
          <w:sz w:val="20"/>
          <w:szCs w:val="20"/>
          <w:color w:val="auto"/>
        </w:rPr>
        <w:t>Revenues were $29.7 million for the three months ended September 30, 2025, compared to $24.2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three months ended September 30, 2024. The increase was primarily attributable to $5.9 million of development service revenue under the Nippon Shinyaku partnership in the third quarter of 2025.</w:t>
      </w:r>
    </w:p>
    <w:p>
      <w:pPr>
        <w:spacing w:after="0" w:line="171"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i w:val="1"/>
          <w:iCs w:val="1"/>
          <w:color w:val="auto"/>
        </w:rPr>
        <w:t>Research and Development Expenses</w:t>
      </w:r>
      <w:r>
        <w:rPr>
          <w:rFonts w:ascii="Arial" w:cs="Arial" w:eastAsia="Arial" w:hAnsi="Arial"/>
          <w:sz w:val="20"/>
          <w:szCs w:val="20"/>
          <w:color w:val="auto"/>
        </w:rPr>
        <w:t>: Research and development expenses were $56.1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2025, compared to $54.4 million for the three months ended September 30, 2024. The increase was primarily attributable to personnel costs and manufacturing-related expenses for clemidsogene lanparvovec.</w:t>
      </w:r>
    </w:p>
    <w:p>
      <w:pPr>
        <w:spacing w:after="0" w:line="171" w:lineRule="exact"/>
        <w:rPr>
          <w:sz w:val="20"/>
          <w:szCs w:val="20"/>
          <w:color w:val="auto"/>
        </w:rPr>
      </w:pPr>
    </w:p>
    <w:p>
      <w:pPr>
        <w:jc w:val="both"/>
        <w:ind w:right="460"/>
        <w:spacing w:after="0" w:line="241"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expenses were $20.3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2025, compared to $19.4 million for the three months ended September 30, 2024. The increase was largely driven by professional services, consulting and other corporate advisory services.</w:t>
      </w:r>
    </w:p>
    <w:p>
      <w:pPr>
        <w:spacing w:after="0" w:line="171"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loss was $61.9 million, or $1.20 basic and diluted net loss per share, for the three months ended September</w:t>
      </w:r>
      <w:r>
        <w:rPr>
          <w:rFonts w:ascii="Arial" w:cs="Arial" w:eastAsia="Arial" w:hAnsi="Arial"/>
          <w:sz w:val="20"/>
          <w:szCs w:val="20"/>
          <w:i w:val="1"/>
          <w:iCs w:val="1"/>
          <w:color w:val="auto"/>
        </w:rPr>
        <w:t xml:space="preserve"> </w:t>
      </w:r>
      <w:r>
        <w:rPr>
          <w:rFonts w:ascii="Arial" w:cs="Arial" w:eastAsia="Arial" w:hAnsi="Arial"/>
          <w:sz w:val="20"/>
          <w:szCs w:val="20"/>
          <w:color w:val="auto"/>
        </w:rPr>
        <w:t>30, 2025, compared to a net loss of $59.6 million, or $1.17 basic and diluted net loss per share, for the three months ended September 30,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6" w:lineRule="exact"/>
        <w:rPr>
          <w:sz w:val="20"/>
          <w:szCs w:val="20"/>
          <w:color w:val="auto"/>
        </w:rPr>
      </w:pPr>
    </w:p>
    <w:p>
      <w:pPr>
        <w:ind w:right="360"/>
        <w:spacing w:after="0" w:line="244" w:lineRule="auto"/>
        <w:rPr>
          <w:sz w:val="20"/>
          <w:szCs w:val="20"/>
          <w:color w:val="auto"/>
        </w:rPr>
      </w:pPr>
      <w:r>
        <w:rPr>
          <w:rFonts w:ascii="Arial" w:cs="Arial" w:eastAsia="Arial" w:hAnsi="Arial"/>
          <w:sz w:val="19"/>
          <w:szCs w:val="19"/>
          <w:color w:val="auto"/>
        </w:rPr>
        <w:t>REGENXBIO expects its balance in cash, cash equivalents and marketable securities of $302.0 million as of September 30, 2025 to fund its operations into early 2027. This cash runway guidance is based on the Company’s current operational plans and excludes the impact of any material payments that may potentially be received from partners or licensees upon the achievement of development or regulatory milestones, or upon the approval or commercialization of product candidates, and excludes potential monetization of a PRV that would be received upon potential approval of clemidsogene lanparvovec.</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xml:space="preserve">In connection with this announcement, REGENXBIO will host a conference call and webcast at 8:00 a.m. ET today. Listeners can register for the webcast via this </w:t>
      </w:r>
      <w:r>
        <w:rPr>
          <w:rFonts w:ascii="Arial" w:cs="Arial" w:eastAsia="Arial" w:hAnsi="Arial"/>
          <w:sz w:val="20"/>
          <w:szCs w:val="20"/>
          <w:b w:val="1"/>
          <w:bCs w:val="1"/>
          <w:color w:val="auto"/>
        </w:rPr>
        <w:t>link</w:t>
      </w:r>
      <w:r>
        <w:rPr>
          <w:rFonts w:ascii="Arial" w:cs="Arial" w:eastAsia="Arial" w:hAnsi="Arial"/>
          <w:sz w:val="20"/>
          <w:szCs w:val="20"/>
          <w:color w:val="auto"/>
        </w:rPr>
        <w:t xml:space="preserve">. Analysts wishing to participate in the question and answer session should use this </w:t>
      </w:r>
      <w:r>
        <w:rPr>
          <w:rFonts w:ascii="Arial" w:cs="Arial" w:eastAsia="Arial" w:hAnsi="Arial"/>
          <w:sz w:val="20"/>
          <w:szCs w:val="20"/>
          <w:b w:val="1"/>
          <w:bCs w:val="1"/>
          <w:color w:val="auto"/>
        </w:rPr>
        <w:t>link</w:t>
      </w:r>
      <w:r>
        <w:rPr>
          <w:rFonts w:ascii="Arial" w:cs="Arial" w:eastAsia="Arial" w:hAnsi="Arial"/>
          <w:sz w:val="20"/>
          <w:szCs w:val="20"/>
          <w:color w:val="auto"/>
        </w:rPr>
        <w:t>. A replay of the webcast will be available via the company's investor website approximately two hours after the call's conclusion. Those who plan on participating are advised to join 15 minutes prior to the start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 both in partnership with Nippon Shinyaku; and surabgene lomparvovec (ABBV-RGX-314) for the treatment of wet AMD and diabetic retinopathy, in collaboration with AbbVie. Thousands of patients have been treated with REGENXBIO's AAV platform, including those receiving Novartis' ZOLGENSMA</w:t>
      </w:r>
      <w:r>
        <w:rPr>
          <w:rFonts w:ascii="Arial" w:cs="Arial" w:eastAsia="Arial" w:hAnsi="Arial"/>
          <w:sz w:val="26"/>
          <w:szCs w:val="26"/>
          <w:color w:val="auto"/>
          <w:vertAlign w:val="superscript"/>
        </w:rPr>
        <w:t>®</w:t>
      </w:r>
      <w:r>
        <w:rPr>
          <w:rFonts w:ascii="Arial" w:cs="Arial" w:eastAsia="Arial" w:hAnsi="Arial"/>
          <w:sz w:val="20"/>
          <w:szCs w:val="20"/>
          <w:color w:val="auto"/>
        </w:rPr>
        <w:t>. REGENXBIO's investigational gene therapies have the potential to change the way healthcare is delivered for millions of people. For more information, please visit www.REGENXBIO.com.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2024,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0"/>
          <w:szCs w:val="20"/>
          <w:color w:val="auto"/>
        </w:rPr>
        <w:t>undertake any obligation, and specifically declines any obligation, to update or revise any forward-looking statements, whether as a result of new information, future events or otherwise.</w:t>
      </w:r>
    </w:p>
    <w:p>
      <w:pPr>
        <w:spacing w:after="0" w:line="167" w:lineRule="exact"/>
        <w:rPr>
          <w:sz w:val="20"/>
          <w:szCs w:val="20"/>
          <w:color w:val="auto"/>
        </w:rPr>
      </w:pPr>
    </w:p>
    <w:p>
      <w:pPr>
        <w:ind w:right="480"/>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Gene Therapies. All other trademarks referenced herein are registered trademarks of REGENXBIO.</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4" w:right="5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BALANCE SHEETS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58,802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57,526</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215,403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177,161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25,347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20,473</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12,943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9,067</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19,472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331,967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278,001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27,838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10,179</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2,765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107,515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117,589</w:t>
            </w: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48,820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53,716</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w:t>
            </w:r>
          </w:p>
        </w:tc>
        <w:tc>
          <w:tcPr>
            <w:tcW w:w="100" w:type="dxa"/>
            <w:vAlign w:val="bottom"/>
          </w:tcPr>
          <w:p>
            <w:pPr>
              <w:spacing w:after="0"/>
              <w:rPr>
                <w:sz w:val="17"/>
                <w:szCs w:val="17"/>
                <w:color w:val="auto"/>
              </w:rPr>
            </w:pPr>
          </w:p>
        </w:tc>
      </w:tr>
      <w:tr>
        <w:trPr>
          <w:trHeight w:val="23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525,203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465,989</w:t>
            </w:r>
          </w:p>
        </w:tc>
        <w:tc>
          <w:tcPr>
            <w:tcW w:w="100" w:type="dxa"/>
            <w:vAlign w:val="bottom"/>
            <w:shd w:val="clear" w:color="auto" w:fill="CFF0FC"/>
          </w:tcPr>
          <w:p>
            <w:pPr>
              <w:spacing w:after="0"/>
              <w:rPr>
                <w:sz w:val="20"/>
                <w:szCs w:val="20"/>
                <w:color w:val="auto"/>
              </w:rPr>
            </w:pPr>
          </w:p>
        </w:tc>
      </w:tr>
      <w:tr>
        <w:trPr>
          <w:trHeight w:val="183"/>
        </w:trPr>
        <w:tc>
          <w:tcPr>
            <w:tcW w:w="56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22,266</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22,798</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38,316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38,070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13,195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9,073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7,902</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41,718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34,309</w:t>
            </w: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124,568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103,194</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21,186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67,433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74,131</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149,916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25,378</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1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648</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363,751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206,338</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660" w:type="dxa"/>
            <w:vAlign w:val="bottom"/>
          </w:tcPr>
          <w:p>
            <w:pPr>
              <w:ind w:left="180"/>
              <w:spacing w:after="0" w:line="183" w:lineRule="exact"/>
              <w:rPr>
                <w:sz w:val="20"/>
                <w:szCs w:val="20"/>
                <w:color w:val="auto"/>
              </w:rPr>
            </w:pPr>
            <w:r>
              <w:rPr>
                <w:rFonts w:ascii="Arial" w:cs="Arial" w:eastAsia="Arial" w:hAnsi="Arial"/>
                <w:sz w:val="18"/>
                <w:szCs w:val="18"/>
                <w:color w:val="auto"/>
              </w:rPr>
              <w:t>Preferred stock; no shares issued and outstanding</w:t>
            </w: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660" w:type="dxa"/>
            <w:vAlign w:val="bottom"/>
          </w:tcPr>
          <w:p>
            <w:pPr>
              <w:ind w:left="340"/>
              <w:spacing w:after="0"/>
              <w:rPr>
                <w:sz w:val="20"/>
                <w:szCs w:val="20"/>
                <w:color w:val="auto"/>
              </w:rPr>
            </w:pPr>
            <w:r>
              <w:rPr>
                <w:rFonts w:ascii="Arial" w:cs="Arial" w:eastAsia="Arial" w:hAnsi="Arial"/>
                <w:sz w:val="18"/>
                <w:szCs w:val="18"/>
                <w:color w:val="auto"/>
              </w:rPr>
              <w:t>at September 30, 2025 and December 31, 2024</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566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Common stock; 50,619 and 49,549 shares issued</w:t>
            </w: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6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outstanding at September 30, 2025 and</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5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2024, respectively</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1,220,977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1,192,536</w:t>
            </w:r>
          </w:p>
        </w:tc>
        <w:tc>
          <w:tcPr>
            <w:tcW w:w="100" w:type="dxa"/>
            <w:vAlign w:val="bottom"/>
          </w:tcPr>
          <w:p>
            <w:pPr>
              <w:spacing w:after="0"/>
              <w:rPr>
                <w:sz w:val="17"/>
                <w:szCs w:val="17"/>
                <w:color w:val="auto"/>
              </w:rPr>
            </w:pPr>
          </w:p>
        </w:tc>
      </w:tr>
      <w:tr>
        <w:trPr>
          <w:trHeight w:val="202"/>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(652)</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(741)</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(1,058,878)</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(932,149)</w:t>
            </w:r>
          </w:p>
        </w:tc>
      </w:tr>
      <w:tr>
        <w:trPr>
          <w:trHeight w:val="196"/>
        </w:trPr>
        <w:tc>
          <w:tcPr>
            <w:tcW w:w="56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161,452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259,651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525,203</w:t>
            </w:r>
          </w:p>
        </w:tc>
        <w:tc>
          <w:tcPr>
            <w:tcW w:w="2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465,989</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8"/>
        </w:trPr>
        <w:tc>
          <w:tcPr>
            <w:tcW w:w="5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-5262880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-4217035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-4199890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-2639695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-1207770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REGENXBIO INC.</w:t>
      </w:r>
    </w:p>
    <w:p>
      <w:pPr>
        <w:jc w:val="center"/>
        <w:spacing w:after="0" w:line="231" w:lineRule="auto"/>
        <w:rPr>
          <w:sz w:val="20"/>
          <w:szCs w:val="20"/>
          <w:color w:val="auto"/>
        </w:rPr>
      </w:pPr>
      <w:r>
        <w:rPr>
          <w:rFonts w:ascii="Arial" w:cs="Arial" w:eastAsia="Arial" w:hAnsi="Arial"/>
          <w:sz w:val="20"/>
          <w:szCs w:val="20"/>
          <w:b w:val="1"/>
          <w:bCs w:val="1"/>
          <w:color w:val="auto"/>
        </w:rPr>
        <w:t>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Nine Months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Ended 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r>
      <w:tr>
        <w:trPr>
          <w:trHeight w:val="156"/>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56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License and royalty revenue</w:t>
            </w:r>
          </w:p>
        </w:tc>
        <w:tc>
          <w:tcPr>
            <w:tcW w:w="142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23,605</w:t>
            </w:r>
          </w:p>
        </w:tc>
        <w:tc>
          <w:tcPr>
            <w:tcW w:w="22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23,982</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129,119</w:t>
            </w:r>
          </w:p>
        </w:tc>
        <w:tc>
          <w:tcPr>
            <w:tcW w:w="1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61,172</w:t>
            </w:r>
          </w:p>
        </w:tc>
        <w:tc>
          <w:tcPr>
            <w:tcW w:w="100" w:type="dxa"/>
            <w:vAlign w:val="bottom"/>
          </w:tcPr>
          <w:p>
            <w:pPr>
              <w:spacing w:after="0"/>
              <w:rPr>
                <w:sz w:val="14"/>
                <w:szCs w:val="14"/>
                <w:color w:val="auto"/>
              </w:rPr>
            </w:pPr>
          </w:p>
        </w:tc>
      </w:tr>
      <w:tr>
        <w:trPr>
          <w:trHeight w:val="162"/>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Service revenue</w:t>
            </w:r>
          </w:p>
        </w:tc>
        <w:tc>
          <w:tcPr>
            <w:tcW w:w="5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6,128</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10,985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Total revenues</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29,733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24,197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140,104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62,114</w:t>
            </w:r>
          </w:p>
        </w:tc>
        <w:tc>
          <w:tcPr>
            <w:tcW w:w="100" w:type="dxa"/>
            <w:vAlign w:val="bottom"/>
          </w:tcPr>
          <w:p>
            <w:pPr>
              <w:spacing w:after="0"/>
              <w:rPr>
                <w:sz w:val="13"/>
                <w:szCs w:val="13"/>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Expenses</w:t>
            </w: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Cost of license and royalty revenues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5,725</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27,249</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Research and development</w:t>
            </w: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56,101</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168,688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158,142</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20,253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19,422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60,483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56,568</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Impairment of long-lived assets</w:t>
            </w: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Other operating expenses</w:t>
            </w:r>
          </w:p>
        </w:tc>
        <w:tc>
          <w:tcPr>
            <w:tcW w:w="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r>
      <w:tr>
        <w:trPr>
          <w:trHeight w:val="155"/>
        </w:trPr>
        <w:tc>
          <w:tcPr>
            <w:tcW w:w="48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operating expenses</w:t>
            </w:r>
          </w:p>
        </w:tc>
        <w:tc>
          <w:tcPr>
            <w:tcW w:w="5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82,144</w:t>
            </w:r>
          </w:p>
        </w:tc>
        <w:tc>
          <w:tcPr>
            <w:tcW w:w="2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86,275</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243,666</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244,092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Loss from operations</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(52,411)</w:t>
            </w:r>
          </w:p>
        </w:tc>
        <w:tc>
          <w:tcPr>
            <w:tcW w:w="86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(62,078)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(103,562)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(181,978)</w:t>
            </w: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Other Income (Expense)</w:t>
            </w: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Interest income from licensing</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Investment income</w:t>
            </w:r>
          </w:p>
        </w:tc>
        <w:tc>
          <w:tcPr>
            <w:tcW w:w="5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3,620</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(13,169)</w:t>
            </w:r>
          </w:p>
        </w:tc>
        <w:tc>
          <w:tcPr>
            <w:tcW w:w="8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(32,732)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(3,242)</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84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income (expense)</w:t>
            </w:r>
          </w:p>
        </w:tc>
        <w:tc>
          <w:tcPr>
            <w:tcW w:w="5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(9,530)</w:t>
            </w:r>
          </w:p>
        </w:tc>
        <w:tc>
          <w:tcPr>
            <w:tcW w:w="8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2,481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(23,167)</w:t>
            </w: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6,062</w:t>
            </w:r>
          </w:p>
        </w:tc>
        <w:tc>
          <w:tcPr>
            <w:tcW w:w="100" w:type="dxa"/>
            <w:vAlign w:val="bottom"/>
            <w:shd w:val="clear" w:color="auto" w:fill="CFF0FC"/>
          </w:tcPr>
          <w:p>
            <w:pPr>
              <w:spacing w:after="0"/>
              <w:rPr>
                <w:sz w:val="13"/>
                <w:szCs w:val="13"/>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(61,941)</w:t>
            </w:r>
          </w:p>
        </w:tc>
        <w:tc>
          <w:tcPr>
            <w:tcW w:w="860" w:type="dxa"/>
            <w:vAlign w:val="bottom"/>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(59,597)</w:t>
            </w:r>
          </w:p>
        </w:tc>
        <w:tc>
          <w:tcPr>
            <w:tcW w:w="3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(126,729)</w:t>
            </w:r>
          </w:p>
        </w:tc>
        <w:tc>
          <w:tcPr>
            <w:tcW w:w="4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(175,916)</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4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Income</w:t>
            </w: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Unrealized gain on available-for-sale securities, net</w:t>
            </w:r>
          </w:p>
        </w:tc>
        <w:tc>
          <w:tcPr>
            <w:tcW w:w="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3,847</w:t>
            </w:r>
          </w:p>
        </w:tc>
        <w:tc>
          <w:tcPr>
            <w:tcW w:w="100" w:type="dxa"/>
            <w:vAlign w:val="bottom"/>
          </w:tcPr>
          <w:p>
            <w:pPr>
              <w:spacing w:after="0"/>
              <w:rPr>
                <w:sz w:val="14"/>
                <w:szCs w:val="14"/>
                <w:color w:val="auto"/>
              </w:rPr>
            </w:pPr>
          </w:p>
        </w:tc>
      </w:tr>
      <w:tr>
        <w:trPr>
          <w:trHeight w:val="155"/>
        </w:trPr>
        <w:tc>
          <w:tcPr>
            <w:tcW w:w="48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other comprehensive income</w:t>
            </w:r>
          </w:p>
        </w:tc>
        <w:tc>
          <w:tcPr>
            <w:tcW w:w="5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w:t>
            </w:r>
          </w:p>
        </w:tc>
        <w:tc>
          <w:tcPr>
            <w:tcW w:w="2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1,684</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484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1420" w:type="dxa"/>
            <w:vAlign w:val="bottom"/>
            <w:gridSpan w:val="2"/>
          </w:tcPr>
          <w:p>
            <w:pPr>
              <w:jc w:val="right"/>
              <w:ind w:right="708"/>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(61,843)</w:t>
            </w:r>
          </w:p>
        </w:tc>
        <w:tc>
          <w:tcPr>
            <w:tcW w:w="860" w:type="dxa"/>
            <w:vAlign w:val="bottom"/>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(57,913)</w:t>
            </w:r>
          </w:p>
        </w:tc>
        <w:tc>
          <w:tcPr>
            <w:tcW w:w="3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(126,640)</w:t>
            </w:r>
          </w:p>
        </w:tc>
        <w:tc>
          <w:tcPr>
            <w:tcW w:w="4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(172,069)</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8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4840" w:type="dxa"/>
            <w:vAlign w:val="bottom"/>
          </w:tcPr>
          <w:p>
            <w:pPr>
              <w:ind w:left="100"/>
              <w:spacing w:after="0"/>
              <w:rPr>
                <w:sz w:val="20"/>
                <w:szCs w:val="20"/>
                <w:color w:val="auto"/>
              </w:rPr>
            </w:pPr>
            <w:r>
              <w:rPr>
                <w:rFonts w:ascii="Arial" w:cs="Arial" w:eastAsia="Arial" w:hAnsi="Arial"/>
                <w:sz w:val="14"/>
                <w:szCs w:val="14"/>
                <w:color w:val="auto"/>
              </w:rPr>
              <w:t>Net loss per share, basic and diluted</w:t>
            </w:r>
          </w:p>
        </w:tc>
        <w:tc>
          <w:tcPr>
            <w:tcW w:w="142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(2.46)</w:t>
            </w: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(3.59)</w:t>
            </w:r>
          </w:p>
        </w:tc>
      </w:tr>
      <w:tr>
        <w:trPr>
          <w:trHeight w:val="20"/>
        </w:trPr>
        <w:tc>
          <w:tcPr>
            <w:tcW w:w="4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40" w:type="dxa"/>
            <w:vAlign w:val="bottom"/>
            <w:tcBorders>
              <w:bottom w:val="single" w:sz="8" w:color="CFF0FC"/>
            </w:tcBorders>
            <w:shd w:val="clear" w:color="auto" w:fill="CFF0FC"/>
          </w:tcPr>
          <w:p>
            <w:pPr>
              <w:ind w:left="100"/>
              <w:spacing w:after="0" w:line="143" w:lineRule="exact"/>
              <w:rPr>
                <w:sz w:val="20"/>
                <w:szCs w:val="20"/>
                <w:color w:val="auto"/>
              </w:rPr>
            </w:pPr>
            <w:r>
              <w:rPr>
                <w:rFonts w:ascii="Arial" w:cs="Arial" w:eastAsia="Arial" w:hAnsi="Arial"/>
                <w:sz w:val="14"/>
                <w:szCs w:val="14"/>
                <w:color w:val="auto"/>
              </w:rPr>
              <w:t>Weighted-average common shares outstanding, basic and diluted</w:t>
            </w:r>
          </w:p>
        </w:tc>
        <w:tc>
          <w:tcPr>
            <w:tcW w:w="5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51,689</w:t>
            </w: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50,800</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51,513</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49,051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-2425065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-2425065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-2425065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-1585595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-1585595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-1585595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-950595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-950595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-950595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-496570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-496570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2025-11-06T06:45:19Z</dcterms:created>
  <dcterms:modified xsi:type="dcterms:W3CDTF">2025-11-06T06:45:19Z</dcterms:modified>
</cp:coreProperties>
</file>