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Malzahn Craig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REGENXBIO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9804 MEDICAL CENTER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REGENXBIO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RGNX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ROCKVILLE   MD</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20850</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09/01/2025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w w:val="98"/>
                <w:vertAlign w:val="subscript"/>
              </w:rPr>
              <w:t>234</w:t>
            </w:r>
            <w:r>
              <w:rPr>
                <w:rFonts w:ascii="Times New Roman" w:cs="Times New Roman" w:eastAsia="Times New Roman" w:hAnsi="Times New Roman"/>
                <w:sz w:val="11"/>
                <w:szCs w:val="11"/>
                <w:color w:val="008000"/>
                <w:w w:val="98"/>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17,585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pay taxes upon the vesting of restricted stock units originally granted to the reporting person on September 1, 2022. The number of shares withheld was determined based on the closing price of the issuer's common stock on August 29,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Patrick J. Christmas as</w:t>
            </w:r>
          </w:p>
        </w:tc>
        <w:tc>
          <w:tcPr>
            <w:tcW w:w="2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09/03/2025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2007" TargetMode="External"/><Relationship Id="rId14" Type="http://schemas.openxmlformats.org/officeDocument/2006/relationships/hyperlink" Target="http://www.sec.gov/cgi-bin/browse-edgar?action=getcompany&amp;CIK=0001590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2025-09-03T15:51:31Z</dcterms:created>
  <dcterms:modified xsi:type="dcterms:W3CDTF">2025-09-03T15:51:31Z</dcterms:modified>
</cp:coreProperties>
</file>