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8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Fox Allan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09/16/2015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REGENXBIO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RGNX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REGENXBIO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9712 MEDICAL CENTER DRIVE,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20" w:type="dxa"/>
            <w:vAlign w:val="bottom"/>
          </w:tcPr>
          <w:p>
            <w:pPr>
              <w:ind w:left="40"/>
              <w:spacing w:after="0"/>
              <w:rPr>
                <w:sz w:val="20"/>
                <w:szCs w:val="20"/>
                <w:color w:val="auto"/>
              </w:rPr>
            </w:pPr>
            <w:r>
              <w:rPr>
                <w:rFonts w:ascii="Arial" w:cs="Arial" w:eastAsia="Arial" w:hAnsi="Arial"/>
                <w:sz w:val="18"/>
                <w:szCs w:val="18"/>
                <w:color w:val="0000FF"/>
              </w:rPr>
              <w:t>ROCKVILLE MD</w:t>
            </w:r>
          </w:p>
        </w:tc>
        <w:tc>
          <w:tcPr>
            <w:tcW w:w="820" w:type="dxa"/>
            <w:vAlign w:val="bottom"/>
          </w:tcPr>
          <w:p>
            <w:pPr>
              <w:jc w:val="right"/>
              <w:spacing w:after="0"/>
              <w:rPr>
                <w:sz w:val="20"/>
                <w:szCs w:val="20"/>
                <w:color w:val="auto"/>
              </w:rPr>
            </w:pPr>
            <w:r>
              <w:rPr>
                <w:rFonts w:ascii="Arial" w:cs="Arial" w:eastAsia="Arial" w:hAnsi="Arial"/>
                <w:sz w:val="18"/>
                <w:szCs w:val="18"/>
                <w:color w:val="0000FF"/>
              </w:rPr>
              <w:t>20850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00"/>
              <w:spacing w:after="0"/>
              <w:rPr>
                <w:sz w:val="20"/>
                <w:szCs w:val="20"/>
                <w:color w:val="auto"/>
              </w:rPr>
            </w:pPr>
            <w:r>
              <w:rPr>
                <w:rFonts w:ascii="Arial" w:cs="Arial" w:eastAsia="Arial" w:hAnsi="Arial"/>
                <w:sz w:val="18"/>
                <w:szCs w:val="18"/>
                <w:color w:val="0000FF"/>
              </w:rPr>
              <w:t>443,700</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w w:val="98"/>
              </w:rPr>
              <w:t>See Footnote</w:t>
            </w:r>
            <w:r>
              <w:rPr>
                <w:rFonts w:ascii="Arial" w:cs="Arial" w:eastAsia="Arial" w:hAnsi="Arial"/>
                <w:sz w:val="22"/>
                <w:szCs w:val="22"/>
                <w:color w:val="008000"/>
                <w:w w:val="98"/>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Preferred Stock</w:t>
            </w:r>
          </w:p>
        </w:tc>
        <w:tc>
          <w:tcPr>
            <w:tcW w:w="15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722,485</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Preferred Stock</w:t>
            </w:r>
          </w:p>
        </w:tc>
        <w:tc>
          <w:tcPr>
            <w:tcW w:w="15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722,485</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15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853,915</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15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478,463</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holds shared dispositive power over the shares held by FoxKiser Holdings, LLC with John Daniel Kiser, with the Reporting Person having a 60% voting interest in FoxKiser Holdings, LLC.</w:t>
      </w:r>
    </w:p>
    <w:p>
      <w:pPr>
        <w:spacing w:after="0" w:line="30" w:lineRule="exact"/>
        <w:rPr>
          <w:rFonts w:ascii="Arial" w:cs="Arial" w:eastAsia="Arial" w:hAnsi="Arial"/>
          <w:sz w:val="14"/>
          <w:szCs w:val="14"/>
          <w:color w:val="008000"/>
        </w:rPr>
      </w:pPr>
    </w:p>
    <w:p>
      <w:pPr>
        <w:ind w:left="40" w:right="16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share of Preferred Series A, Preferred Series B, and Preferred Series C Stock is convertible and will automatically convert on a 1:1 basis into the Issuer's common stock upon the closing of the Issuer's initial public offering of common stock pursuant to an effective registration statement filed with the U.S. Securities and Exchange Commission. These shares have no expiration date.</w:t>
      </w:r>
    </w:p>
    <w:p>
      <w:pPr>
        <w:ind w:left="40" w:right="1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is a trustee of The Allan M. Fox Trust (U/A/D April 21, 2015), the direct beneficial owner of the shares. The Reporting Person disclaims beneficial ownership within the meaning of Section 16 of the Securities Exchange Act of 1934, as amended, or otherwise or such portion of the shares of common stock of the Issuer held by The Allan M. Fox Trust (U/A/D April 21, 2015), in which the Reporting Person has no pecuniary interest.</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is a trustee of The Allan M. Fox Revocable Trust, the direct beneficial owner of the shares. The Reporting Person disclaims beneficial ownership within the meaning of Section 16 of the Securities Exchange Act of 1934, as amended, or otherwise or such portion of the shares of common stock of the Issuer held by The Allan M. Fox Revocable Trust, in which the Reporting Person has no pecuniary interest.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Allan M. Fox</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09/16/2015</w:t>
            </w: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2936" TargetMode="External"/><Relationship Id="rId12" Type="http://schemas.openxmlformats.org/officeDocument/2006/relationships/hyperlink" Target="http://www.sec.gov/cgi-bin/browse-edgar?action=getcompany&amp;CIK=0001590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2019-12-09T04:27:43Z</dcterms:created>
  <dcterms:modified xsi:type="dcterms:W3CDTF">2019-12-09T04:27:43Z</dcterms:modified>
</cp:coreProperties>
</file>