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59" w:lineRule="exact"/>
        <w:rPr>
          <w:sz w:val="24"/>
          <w:szCs w:val="24"/>
          <w:color w:val="auto"/>
        </w:rPr>
      </w:pPr>
    </w:p>
    <w:p>
      <w:pPr>
        <w:ind w:left="4260"/>
        <w:spacing w:after="0"/>
        <w:rPr>
          <w:sz w:val="20"/>
          <w:szCs w:val="20"/>
          <w:color w:val="auto"/>
        </w:rPr>
      </w:pPr>
      <w:r>
        <w:rPr>
          <w:rFonts w:ascii="Arial" w:cs="Arial" w:eastAsia="Arial" w:hAnsi="Arial"/>
          <w:sz w:val="14"/>
          <w:szCs w:val="14"/>
          <w:b w:val="1"/>
          <w:bCs w:val="1"/>
          <w:color w:val="auto"/>
        </w:rPr>
        <w:t>For the transition period from</w:t>
      </w:r>
    </w:p>
    <w:p>
      <w:pPr>
        <w:spacing w:after="0" w:line="26" w:lineRule="exact"/>
        <w:rPr>
          <w:sz w:val="24"/>
          <w:szCs w:val="24"/>
          <w:color w:val="auto"/>
        </w:rPr>
      </w:pPr>
    </w:p>
    <w:p>
      <w:pPr>
        <w:ind w:left="4520"/>
        <w:spacing w:after="0"/>
        <w:rPr>
          <w:sz w:val="20"/>
          <w:szCs w:val="20"/>
          <w:color w:val="auto"/>
        </w:rPr>
      </w:pPr>
      <w:r>
        <w:rPr>
          <w:rFonts w:ascii="Arial" w:cs="Arial" w:eastAsia="Arial" w:hAnsi="Arial"/>
          <w:sz w:val="13"/>
          <w:szCs w:val="13"/>
          <w:b w:val="1"/>
          <w:bCs w:val="1"/>
          <w:color w:val="auto"/>
        </w:rPr>
        <w:t>Commission file number: 001-37553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48260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80" w:lineRule="exact"/>
        <w:rPr>
          <w:sz w:val="24"/>
          <w:szCs w:val="24"/>
          <w:color w:val="auto"/>
        </w:rPr>
      </w:pPr>
    </w:p>
    <w:p>
      <w:pPr>
        <w:sectPr>
          <w:pgSz w:w="11900" w:h="16838" w:orient="portrait"/>
          <w:cols w:equalWidth="0" w:num="2">
            <w:col w:w="6740" w:space="140"/>
            <w:col w:w="4360"/>
          </w:cols>
          <w:pgMar w:left="320" w:top="233" w:right="339" w:bottom="1440" w:gutter="0" w:footer="0" w:header="0"/>
          <w:type w:val="continuous"/>
        </w:sectPr>
      </w:pPr>
    </w:p>
    <w:tbl>
      <w:tblPr>
        <w:tblLayout w:type="fixed"/>
        <w:tblInd w:w="2000" w:type="dxa"/>
        <w:tblCellMar>
          <w:top w:w="0" w:type="dxa"/>
          <w:left w:w="0" w:type="dxa"/>
          <w:bottom w:w="0" w:type="dxa"/>
          <w:right w:w="0" w:type="dxa"/>
        </w:tblCellMar>
      </w:tblPr>
      <w:tr>
        <w:trPr>
          <w:trHeight w:val="498"/>
        </w:trPr>
        <w:tc>
          <w:tcPr>
            <w:tcW w:w="1780" w:type="dxa"/>
            <w:vAlign w:val="bottom"/>
          </w:tcPr>
          <w:p>
            <w:pPr>
              <w:spacing w:after="0"/>
              <w:rPr>
                <w:sz w:val="24"/>
                <w:szCs w:val="24"/>
                <w:color w:val="auto"/>
              </w:rPr>
            </w:pPr>
          </w:p>
        </w:tc>
        <w:tc>
          <w:tcPr>
            <w:tcW w:w="5300" w:type="dxa"/>
            <w:vAlign w:val="bottom"/>
            <w:gridSpan w:val="3"/>
          </w:tcPr>
          <w:p>
            <w:pPr>
              <w:jc w:val="center"/>
              <w:ind w:right="1557"/>
              <w:spacing w:after="0"/>
              <w:rPr>
                <w:sz w:val="20"/>
                <w:szCs w:val="20"/>
                <w:color w:val="auto"/>
              </w:rPr>
            </w:pPr>
            <w:r>
              <w:rPr>
                <w:rFonts w:ascii="Arial" w:cs="Arial" w:eastAsia="Arial" w:hAnsi="Arial"/>
                <w:sz w:val="40"/>
                <w:szCs w:val="40"/>
                <w:b w:val="1"/>
                <w:bCs w:val="1"/>
                <w:color w:val="auto"/>
                <w:w w:val="98"/>
              </w:rPr>
              <w:t>REGENXBIO Inc.</w:t>
            </w:r>
          </w:p>
        </w:tc>
      </w:tr>
      <w:tr>
        <w:trPr>
          <w:trHeight w:val="186"/>
        </w:trPr>
        <w:tc>
          <w:tcPr>
            <w:tcW w:w="1780" w:type="dxa"/>
            <w:vAlign w:val="bottom"/>
          </w:tcPr>
          <w:p>
            <w:pPr>
              <w:spacing w:after="0"/>
              <w:rPr>
                <w:sz w:val="16"/>
                <w:szCs w:val="16"/>
                <w:color w:val="auto"/>
              </w:rPr>
            </w:pPr>
          </w:p>
        </w:tc>
        <w:tc>
          <w:tcPr>
            <w:tcW w:w="5300" w:type="dxa"/>
            <w:vAlign w:val="bottom"/>
            <w:gridSpan w:val="3"/>
          </w:tcPr>
          <w:p>
            <w:pPr>
              <w:jc w:val="center"/>
              <w:ind w:right="153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53"/>
        </w:trPr>
        <w:tc>
          <w:tcPr>
            <w:tcW w:w="1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340" w:type="dxa"/>
            <w:vAlign w:val="bottom"/>
          </w:tcPr>
          <w:p>
            <w:pPr>
              <w:spacing w:after="0"/>
              <w:rPr>
                <w:sz w:val="4"/>
                <w:szCs w:val="4"/>
                <w:color w:val="auto"/>
              </w:rPr>
            </w:pPr>
          </w:p>
        </w:tc>
      </w:tr>
      <w:tr>
        <w:trPr>
          <w:trHeight w:val="198"/>
        </w:trPr>
        <w:tc>
          <w:tcPr>
            <w:tcW w:w="178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Delaware</w:t>
            </w:r>
          </w:p>
        </w:tc>
        <w:tc>
          <w:tcPr>
            <w:tcW w:w="5300" w:type="dxa"/>
            <w:vAlign w:val="bottom"/>
            <w:gridSpan w:val="3"/>
          </w:tcPr>
          <w:p>
            <w:pPr>
              <w:jc w:val="center"/>
              <w:ind w:left="4017"/>
              <w:spacing w:after="0"/>
              <w:rPr>
                <w:sz w:val="20"/>
                <w:szCs w:val="20"/>
                <w:color w:val="auto"/>
              </w:rPr>
            </w:pPr>
            <w:r>
              <w:rPr>
                <w:rFonts w:ascii="Arial" w:cs="Arial" w:eastAsia="Arial" w:hAnsi="Arial"/>
                <w:sz w:val="14"/>
                <w:szCs w:val="14"/>
                <w:b w:val="1"/>
                <w:bCs w:val="1"/>
                <w:color w:val="auto"/>
                <w:w w:val="93"/>
              </w:rPr>
              <w:t>47-1851754</w:t>
            </w:r>
          </w:p>
        </w:tc>
      </w:tr>
      <w:tr>
        <w:trPr>
          <w:trHeight w:val="146"/>
        </w:trPr>
        <w:tc>
          <w:tcPr>
            <w:tcW w:w="1780" w:type="dxa"/>
            <w:vAlign w:val="bottom"/>
          </w:tcPr>
          <w:p>
            <w:pPr>
              <w:jc w:val="center"/>
              <w:ind w:right="174"/>
              <w:spacing w:after="0" w:line="146" w:lineRule="exact"/>
              <w:rPr>
                <w:sz w:val="20"/>
                <w:szCs w:val="20"/>
                <w:color w:val="auto"/>
              </w:rPr>
            </w:pPr>
            <w:r>
              <w:rPr>
                <w:rFonts w:ascii="Arial" w:cs="Arial" w:eastAsia="Arial" w:hAnsi="Arial"/>
                <w:sz w:val="13"/>
                <w:szCs w:val="13"/>
                <w:color w:val="auto"/>
                <w:w w:val="89"/>
              </w:rPr>
              <w:t>(State or other jurisdiction of</w:t>
            </w: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340" w:type="dxa"/>
            <w:vAlign w:val="bottom"/>
          </w:tcPr>
          <w:p>
            <w:pPr>
              <w:jc w:val="center"/>
              <w:ind w:left="1097"/>
              <w:spacing w:after="0" w:line="146" w:lineRule="exact"/>
              <w:rPr>
                <w:sz w:val="20"/>
                <w:szCs w:val="20"/>
                <w:color w:val="auto"/>
              </w:rPr>
            </w:pPr>
            <w:r>
              <w:rPr>
                <w:rFonts w:ascii="Arial" w:cs="Arial" w:eastAsia="Arial" w:hAnsi="Arial"/>
                <w:sz w:val="13"/>
                <w:szCs w:val="13"/>
                <w:color w:val="auto"/>
                <w:w w:val="90"/>
              </w:rPr>
              <w:t>(I.R.S. Employer</w:t>
            </w:r>
          </w:p>
        </w:tc>
      </w:tr>
      <w:tr>
        <w:trPr>
          <w:trHeight w:val="160"/>
        </w:trPr>
        <w:tc>
          <w:tcPr>
            <w:tcW w:w="1780" w:type="dxa"/>
            <w:vAlign w:val="bottom"/>
          </w:tcPr>
          <w:p>
            <w:pPr>
              <w:jc w:val="center"/>
              <w:ind w:right="194"/>
              <w:spacing w:after="0"/>
              <w:rPr>
                <w:sz w:val="20"/>
                <w:szCs w:val="20"/>
                <w:color w:val="auto"/>
              </w:rPr>
            </w:pPr>
            <w:r>
              <w:rPr>
                <w:rFonts w:ascii="Arial" w:cs="Arial" w:eastAsia="Arial" w:hAnsi="Arial"/>
                <w:sz w:val="13"/>
                <w:szCs w:val="13"/>
                <w:color w:val="auto"/>
                <w:w w:val="89"/>
              </w:rPr>
              <w:t>incorporation or organization)</w:t>
            </w:r>
          </w:p>
        </w:tc>
        <w:tc>
          <w:tcPr>
            <w:tcW w:w="7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340" w:type="dxa"/>
            <w:vAlign w:val="bottom"/>
          </w:tcPr>
          <w:p>
            <w:pPr>
              <w:jc w:val="center"/>
              <w:ind w:left="1117"/>
              <w:spacing w:after="0"/>
              <w:rPr>
                <w:sz w:val="20"/>
                <w:szCs w:val="20"/>
                <w:color w:val="auto"/>
              </w:rPr>
            </w:pPr>
            <w:r>
              <w:rPr>
                <w:rFonts w:ascii="Arial" w:cs="Arial" w:eastAsia="Arial" w:hAnsi="Arial"/>
                <w:sz w:val="13"/>
                <w:szCs w:val="13"/>
                <w:color w:val="auto"/>
                <w:w w:val="91"/>
              </w:rPr>
              <w:t>Identification Number)</w:t>
            </w:r>
          </w:p>
        </w:tc>
      </w:tr>
      <w:tr>
        <w:trPr>
          <w:trHeight w:val="155"/>
        </w:trPr>
        <w:tc>
          <w:tcPr>
            <w:tcW w:w="1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580" w:type="dxa"/>
            <w:vAlign w:val="bottom"/>
            <w:gridSpan w:val="2"/>
          </w:tcPr>
          <w:p>
            <w:pPr>
              <w:jc w:val="center"/>
              <w:ind w:right="2257"/>
              <w:spacing w:after="0" w:line="155" w:lineRule="exact"/>
              <w:rPr>
                <w:sz w:val="20"/>
                <w:szCs w:val="20"/>
                <w:color w:val="auto"/>
              </w:rPr>
            </w:pPr>
            <w:r>
              <w:rPr>
                <w:rFonts w:ascii="Arial" w:cs="Arial" w:eastAsia="Arial" w:hAnsi="Arial"/>
                <w:sz w:val="14"/>
                <w:szCs w:val="14"/>
                <w:b w:val="1"/>
                <w:bCs w:val="1"/>
                <w:color w:val="auto"/>
                <w:w w:val="95"/>
              </w:rPr>
              <w:t>9804 Medical Center Drive</w:t>
            </w:r>
          </w:p>
        </w:tc>
      </w:tr>
      <w:tr>
        <w:trPr>
          <w:trHeight w:val="149"/>
        </w:trPr>
        <w:tc>
          <w:tcPr>
            <w:tcW w:w="1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580" w:type="dxa"/>
            <w:vAlign w:val="bottom"/>
            <w:gridSpan w:val="2"/>
          </w:tcPr>
          <w:p>
            <w:pPr>
              <w:jc w:val="center"/>
              <w:ind w:right="2277"/>
              <w:spacing w:after="0" w:line="149" w:lineRule="exact"/>
              <w:rPr>
                <w:sz w:val="20"/>
                <w:szCs w:val="20"/>
                <w:color w:val="auto"/>
              </w:rPr>
            </w:pPr>
            <w:r>
              <w:rPr>
                <w:rFonts w:ascii="Arial" w:cs="Arial" w:eastAsia="Arial" w:hAnsi="Arial"/>
                <w:sz w:val="14"/>
                <w:szCs w:val="14"/>
                <w:b w:val="1"/>
                <w:bCs w:val="1"/>
                <w:color w:val="auto"/>
                <w:w w:val="95"/>
              </w:rPr>
              <w:t>Rockville, MD 20850</w:t>
            </w:r>
          </w:p>
        </w:tc>
      </w:tr>
      <w:tr>
        <w:trPr>
          <w:trHeight w:val="186"/>
        </w:trPr>
        <w:tc>
          <w:tcPr>
            <w:tcW w:w="1780" w:type="dxa"/>
            <w:vAlign w:val="bottom"/>
          </w:tcPr>
          <w:p>
            <w:pPr>
              <w:spacing w:after="0"/>
              <w:rPr>
                <w:sz w:val="16"/>
                <w:szCs w:val="16"/>
                <w:color w:val="auto"/>
              </w:rPr>
            </w:pPr>
          </w:p>
        </w:tc>
        <w:tc>
          <w:tcPr>
            <w:tcW w:w="296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w w:val="93"/>
              </w:rPr>
              <w:t>(240) 552-8181</w:t>
            </w:r>
          </w:p>
        </w:tc>
        <w:tc>
          <w:tcPr>
            <w:tcW w:w="2340" w:type="dxa"/>
            <w:vAlign w:val="bottom"/>
          </w:tcPr>
          <w:p>
            <w:pPr>
              <w:spacing w:after="0"/>
              <w:rPr>
                <w:sz w:val="16"/>
                <w:szCs w:val="16"/>
                <w:color w:val="auto"/>
              </w:rPr>
            </w:pPr>
          </w:p>
        </w:tc>
      </w:tr>
    </w:tbl>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 and Zip Code, and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ind w:left="5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860" w:type="dxa"/>
            <w:vAlign w:val="bottom"/>
            <w:tcBorders>
              <w:top w:val="single" w:sz="8" w:color="auto"/>
              <w:bottom w:val="single" w:sz="8" w:color="auto"/>
            </w:tcBorders>
          </w:tcPr>
          <w:p>
            <w:pPr>
              <w:spacing w:after="0"/>
              <w:rPr>
                <w:sz w:val="14"/>
                <w:szCs w:val="14"/>
                <w:color w:val="auto"/>
              </w:rPr>
            </w:pPr>
          </w:p>
        </w:tc>
        <w:tc>
          <w:tcPr>
            <w:tcW w:w="3840" w:type="dxa"/>
            <w:vAlign w:val="bottom"/>
            <w:tcBorders>
              <w:top w:val="single" w:sz="8" w:color="auto"/>
              <w:bottom w:val="single" w:sz="8" w:color="auto"/>
              <w:right w:val="single" w:sz="8" w:color="auto"/>
            </w:tcBorders>
            <w:gridSpan w:val="2"/>
          </w:tcPr>
          <w:p>
            <w:pPr>
              <w:jc w:val="center"/>
              <w:ind w:right="788"/>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42"/>
        </w:trPr>
        <w:tc>
          <w:tcPr>
            <w:tcW w:w="47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Common Stock, par value $0.0001 per share</w:t>
            </w:r>
          </w:p>
        </w:tc>
        <w:tc>
          <w:tcPr>
            <w:tcW w:w="1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RGNX</w:t>
            </w:r>
          </w:p>
        </w:tc>
        <w:tc>
          <w:tcPr>
            <w:tcW w:w="8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420" w:type="dxa"/>
            <w:vAlign w:val="bottom"/>
            <w:tcBorders>
              <w:bottom w:val="single" w:sz="8" w:color="auto"/>
              <w:right w:val="single" w:sz="8" w:color="auto"/>
            </w:tcBorders>
          </w:tcPr>
          <w:p>
            <w:pPr>
              <w:jc w:val="center"/>
              <w:ind w:right="1228"/>
              <w:spacing w:after="0" w:line="142" w:lineRule="exact"/>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238"/>
        </w:trPr>
        <w:tc>
          <w:tcPr>
            <w:tcW w:w="4760" w:type="dxa"/>
            <w:vAlign w:val="bottom"/>
          </w:tcPr>
          <w:p>
            <w:pPr>
              <w:ind w:left="520"/>
              <w:spacing w:after="0"/>
              <w:rPr>
                <w:sz w:val="20"/>
                <w:szCs w:val="20"/>
                <w:color w:val="auto"/>
              </w:rPr>
            </w:pPr>
            <w:r>
              <w:rPr>
                <w:rFonts w:ascii="Arial" w:cs="Arial" w:eastAsia="Arial" w:hAnsi="Arial"/>
                <w:sz w:val="14"/>
                <w:szCs w:val="14"/>
                <w:color w:val="auto"/>
              </w:rPr>
              <w:t>Securities registered pursuant to Section 12(g) of the Act: None</w:t>
            </w: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vMerge w:val="restart"/>
          </w:tcPr>
          <w:p>
            <w:pPr>
              <w:ind w:left="2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3420" w:type="dxa"/>
            <w:vAlign w:val="bottom"/>
            <w:vMerge w:val="restart"/>
          </w:tcPr>
          <w:p>
            <w:pPr>
              <w:jc w:val="center"/>
              <w:ind w:right="266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5"/>
        </w:trPr>
        <w:tc>
          <w:tcPr>
            <w:tcW w:w="7400" w:type="dxa"/>
            <w:vAlign w:val="bottom"/>
            <w:gridSpan w:val="3"/>
          </w:tcPr>
          <w:p>
            <w:pPr>
              <w:ind w:left="52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20" w:type="dxa"/>
            <w:vAlign w:val="bottom"/>
            <w:vMerge w:val="continue"/>
          </w:tcPr>
          <w:p>
            <w:pPr>
              <w:spacing w:after="0"/>
              <w:rPr>
                <w:sz w:val="16"/>
                <w:szCs w:val="16"/>
                <w:color w:val="auto"/>
              </w:rPr>
            </w:pP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400" w:type="dxa"/>
            <w:vAlign w:val="bottom"/>
            <w:gridSpan w:val="3"/>
          </w:tcPr>
          <w:p>
            <w:pPr>
              <w:ind w:left="52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Arial" w:cs="Arial" w:eastAsia="Arial" w:hAnsi="Arial"/>
                <w:sz w:val="14"/>
                <w:szCs w:val="14"/>
                <w:color w:val="auto"/>
              </w:rPr>
              <w:t>Yes</w:t>
            </w:r>
          </w:p>
        </w:tc>
        <w:tc>
          <w:tcPr>
            <w:tcW w:w="3420" w:type="dxa"/>
            <w:vAlign w:val="bottom"/>
          </w:tcPr>
          <w:p>
            <w:pPr>
              <w:jc w:val="center"/>
              <w:ind w:right="2688"/>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12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60" w:firstLine="51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140" w:firstLine="51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06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ind w:right="6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51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6560" w:val="left"/>
          <w:tab w:leader="none" w:pos="71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ind w:right="40" w:firstLine="510"/>
        <w:spacing w:after="0" w:line="246" w:lineRule="auto"/>
        <w:rPr>
          <w:sz w:val="20"/>
          <w:szCs w:val="20"/>
          <w:color w:val="auto"/>
        </w:rPr>
      </w:pPr>
      <w:r>
        <w:rPr>
          <w:rFonts w:ascii="Arial" w:cs="Arial" w:eastAsia="Arial" w:hAnsi="Arial"/>
          <w:sz w:val="14"/>
          <w:szCs w:val="14"/>
          <w:color w:val="auto"/>
        </w:rPr>
        <w:t>The aggregate market value of common stock held by non-affiliates of the registrant based on the closing price of the registrant’s common stock as reported on The Nasdaq Global Select Market on June 30, 2021, the last business day of the registrant’s most recently completed second quarter, was $1,310,113,569.</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24, 2022, there were 42,949,562 shares of the registrant’s common stock, par value $0.0001 per share, issued and outstanding.</w:t>
      </w:r>
    </w:p>
    <w:p>
      <w:pPr>
        <w:spacing w:after="0" w:line="17"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right="260" w:firstLine="510"/>
        <w:spacing w:after="0" w:line="290" w:lineRule="auto"/>
        <w:rPr>
          <w:sz w:val="20"/>
          <w:szCs w:val="20"/>
          <w:color w:val="auto"/>
        </w:rPr>
      </w:pPr>
      <w:r>
        <w:rPr>
          <w:rFonts w:ascii="Arial" w:cs="Arial" w:eastAsia="Arial" w:hAnsi="Arial"/>
          <w:sz w:val="13"/>
          <w:szCs w:val="13"/>
          <w:color w:val="auto"/>
        </w:rPr>
        <w:t>Specified portions of the registrant’s definitive proxy statement with respect to the registrant’s 2022 Annual Meeting of Stockholders, which is to be filed pursuant to Regulation 14A within 120 days after the end of the registrant’s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575310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460" w:type="dxa"/>
            <w:vAlign w:val="bottom"/>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600" w:type="dxa"/>
            <w:vAlign w:val="bottom"/>
            <w:gridSpan w:val="10"/>
            <w:vMerge w:val="restart"/>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460" w:type="dxa"/>
            <w:vAlign w:val="bottom"/>
            <w:tcBorders>
              <w:bottom w:val="single" w:sz="8" w:color="0000EE"/>
            </w:tcBorders>
            <w:vMerge w:val="continue"/>
          </w:tcPr>
          <w:p>
            <w:pPr>
              <w:spacing w:after="0"/>
              <w:rPr>
                <w:sz w:val="14"/>
                <w:szCs w:val="14"/>
                <w:color w:val="auto"/>
              </w:rPr>
            </w:pPr>
          </w:p>
        </w:tc>
        <w:tc>
          <w:tcPr>
            <w:tcW w:w="4600" w:type="dxa"/>
            <w:vAlign w:val="bottom"/>
            <w:gridSpan w:val="10"/>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Information Regarding Forward-Looking Statements</w:t>
              </w:r>
            </w:hyperlink>
          </w:p>
        </w:tc>
        <w:tc>
          <w:tcPr>
            <w:tcW w:w="57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Industry and Market Data</w:t>
              </w:r>
            </w:hyperlink>
          </w:p>
        </w:tc>
        <w:tc>
          <w:tcPr>
            <w:tcW w:w="7680" w:type="dxa"/>
            <w:vAlign w:val="bottom"/>
            <w:gridSpan w:val="2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9540" w:type="dxa"/>
            <w:vAlign w:val="bottom"/>
            <w:gridSpan w:val="3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540" w:type="dxa"/>
            <w:vAlign w:val="bottom"/>
            <w:gridSpan w:val="3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1B.</w:t>
            </w:r>
          </w:p>
        </w:tc>
        <w:tc>
          <w:tcPr>
            <w:tcW w:w="9540" w:type="dxa"/>
            <w:vAlign w:val="bottom"/>
            <w:gridSpan w:val="3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Unresolved Staff Comments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7500" w:type="dxa"/>
            <w:vAlign w:val="bottom"/>
            <w:gridSpan w:val="2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Legal Proceedings</w:t>
              </w:r>
            </w:hyperlink>
          </w:p>
        </w:tc>
        <w:tc>
          <w:tcPr>
            <w:tcW w:w="8200" w:type="dxa"/>
            <w:vAlign w:val="bottom"/>
            <w:gridSpan w:val="2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9540" w:type="dxa"/>
            <w:vAlign w:val="bottom"/>
            <w:gridSpan w:val="3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II</w:t>
              </w:r>
            </w:hyperlink>
          </w:p>
        </w:tc>
        <w:tc>
          <w:tcPr>
            <w:tcW w:w="456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Market for Registrant’s Common Equity, Related Stockholder Matters and Issuer Purchases of Equity Securities</w:t>
              </w:r>
            </w:hyperlink>
          </w:p>
        </w:tc>
        <w:tc>
          <w:tcPr>
            <w:tcW w:w="14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66">
              <w:r>
                <w:rPr>
                  <w:rFonts w:ascii="Arial" w:cs="Arial" w:eastAsia="Arial" w:hAnsi="Arial"/>
                  <w:sz w:val="18"/>
                  <w:szCs w:val="18"/>
                  <w:color w:val="0000EE"/>
                  <w:w w:val="85"/>
                </w:rPr>
                <w:t>Reserved</w:t>
              </w:r>
            </w:hyperlink>
          </w:p>
        </w:tc>
        <w:tc>
          <w:tcPr>
            <w:tcW w:w="8860" w:type="dxa"/>
            <w:vAlign w:val="bottom"/>
            <w:gridSpan w:val="3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9540" w:type="dxa"/>
            <w:vAlign w:val="bottom"/>
            <w:gridSpan w:val="3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Financial Statements and Supplementary Data</w:t>
              </w:r>
            </w:hyperlink>
          </w:p>
        </w:tc>
        <w:tc>
          <w:tcPr>
            <w:tcW w:w="52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Changes in and Disagreements with Accountants on Accounting and Financial Disclosure</w:t>
              </w:r>
            </w:hyperlink>
          </w:p>
        </w:tc>
        <w:tc>
          <w:tcPr>
            <w:tcW w:w="30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9540" w:type="dxa"/>
            <w:vAlign w:val="bottom"/>
            <w:gridSpan w:val="3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780" w:type="dxa"/>
            <w:vAlign w:val="bottom"/>
            <w:gridSpan w:val="2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9C.</w:t>
            </w:r>
          </w:p>
        </w:tc>
        <w:tc>
          <w:tcPr>
            <w:tcW w:w="49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Disclosure Regarding Foreign Jurisdictions That Prevent Inspections</w:t>
              </w:r>
            </w:hyperlink>
          </w:p>
        </w:tc>
        <w:tc>
          <w:tcPr>
            <w:tcW w:w="458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III</w:t>
              </w:r>
            </w:hyperlink>
          </w:p>
        </w:tc>
        <w:tc>
          <w:tcPr>
            <w:tcW w:w="452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Directors, Executive Officers and Corporate Governance</w:t>
              </w:r>
            </w:hyperlink>
          </w:p>
        </w:tc>
        <w:tc>
          <w:tcPr>
            <w:tcW w:w="544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9540" w:type="dxa"/>
            <w:vAlign w:val="bottom"/>
            <w:gridSpan w:val="32"/>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Executive Compensation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Security Ownership of Certain Beneficial Owners and Management and Related Stockholder Matters</w:t>
              </w:r>
            </w:hyperlink>
          </w:p>
        </w:tc>
        <w:tc>
          <w:tcPr>
            <w:tcW w:w="224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Certain Relationships and Related Transactions, and Director Independence</w:t>
              </w:r>
            </w:hyperlink>
          </w:p>
        </w:tc>
        <w:tc>
          <w:tcPr>
            <w:tcW w:w="40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9540" w:type="dxa"/>
            <w:vAlign w:val="bottom"/>
            <w:gridSpan w:val="32"/>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Principal Accountant Fees and Services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13"/>
          </w:tcPr>
          <w:p>
            <w:pPr>
              <w:jc w:val="center"/>
              <w:ind w:right="4540"/>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IV</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Exhibits, Financial Statement Schedules</w:t>
              </w:r>
            </w:hyperlink>
          </w:p>
        </w:tc>
        <w:tc>
          <w:tcPr>
            <w:tcW w:w="1540" w:type="dxa"/>
            <w:vAlign w:val="bottom"/>
            <w:gridSpan w:val="6"/>
          </w:tcPr>
          <w:p>
            <w:pPr>
              <w:spacing w:after="0"/>
              <w:rPr>
                <w:sz w:val="17"/>
                <w:szCs w:val="17"/>
                <w:color w:val="auto"/>
              </w:rPr>
            </w:pPr>
          </w:p>
        </w:tc>
        <w:tc>
          <w:tcPr>
            <w:tcW w:w="560" w:type="dxa"/>
            <w:vAlign w:val="bottom"/>
            <w:tcBorders>
              <w:top w:val="single" w:sz="8" w:color="0000EE"/>
            </w:tcBorders>
            <w:gridSpan w:val="5"/>
          </w:tcPr>
          <w:p>
            <w:pPr>
              <w:spacing w:after="0"/>
              <w:rPr>
                <w:sz w:val="17"/>
                <w:szCs w:val="17"/>
                <w:color w:val="auto"/>
              </w:rPr>
            </w:pPr>
          </w:p>
        </w:tc>
        <w:tc>
          <w:tcPr>
            <w:tcW w:w="454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Arial" w:cs="Arial" w:eastAsia="Arial" w:hAnsi="Arial"/>
                <w:sz w:val="18"/>
                <w:szCs w:val="18"/>
                <w:color w:val="auto"/>
              </w:rPr>
              <w:t>Item 16.</w:t>
            </w:r>
          </w:p>
        </w:tc>
        <w:tc>
          <w:tcPr>
            <w:tcW w:w="9540" w:type="dxa"/>
            <w:vAlign w:val="bottom"/>
            <w:gridSpan w:val="32"/>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420" w:type="dxa"/>
            <w:vAlign w:val="bottom"/>
            <w:gridSpan w:val="2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Index to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Exhibit Index</w:t>
              </w:r>
            </w:hyperlink>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1020" w:type="dxa"/>
            <w:vAlign w:val="bottom"/>
            <w:gridSpan w:val="3"/>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215"/>
        </w:trPr>
        <w:tc>
          <w:tcPr>
            <w:tcW w:w="76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We have based these forward-looking statements on our current expectations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w:t>
      </w:r>
    </w:p>
    <w:p>
      <w:pPr>
        <w:spacing w:after="0" w:line="70"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operations and preclinical and clinical development timelines and plans;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development partnerships, including our collaboration with AbbVie to develop and commercialize RGX-314;</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labeling for any approved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enrollment, commencement and completion and the success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commencement and completion and the success of preclinical studies conducted by us and our development partners;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timely development and launch of new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expansion and costs of developing and commercializing our product candidates;</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maintain and enforce intellectual property protection for our product candidates and technology, and defend against third-party intellectual property-related claims;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and commercialization of product candidates currently being developed by third parties that utilize our technology;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trends and challenges in our business and the market in which we operate;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or retain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the ability to serve those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of our products that are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expenses and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outcome of legal proceedings;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and foreign countries;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accurately predict how long our existing cash resources will be sufficient to fund our anticipated operating expenses.</w:t>
      </w:r>
    </w:p>
    <w:p>
      <w:pPr>
        <w:spacing w:after="0" w:line="23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You should carefully read the factors discussed in the sections titled “Risk Factors,” “Management’s Discussion and Analysis of Financial Condition and Results of Operations” and elsewhere in this Annual Report on Form 10-K and in our other filings with the U.S. Securities and Exchange Commission (the SEC) for additional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looking statements. These forward-looking statements speak only as of the date of this report. Except as required by law, we disclaim any duty to update any forward-looking statements, whether as a result of new information, future events or otherwise.</w:t>
      </w:r>
    </w:p>
    <w:p>
      <w:pPr>
        <w:spacing w:after="0" w:line="170"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As used in this Annual Report on Form 10-K, the terms “REGENXBIO,” “we,” “us,” “our” or the “Company” mean REGENXBIO Inc. and its subsidiaries, on a consolidated basis, unless the context indicates otherwise.</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AAVIATE, NAV, REGENXBIO and the REGENXBIO logos are our registered trademarks. Any other trademarks appearing in this Annual Report on Form 10-K are the property of their respective 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obtained the industry, market and competitive position data used throughout this Annual Report on Form 10-K from our own internal estimates and research, as well as from industry and general publications, in addition to research, surveys and studies conducted by third parties. Internal estimates are derived from publicly-available information released by industry analysts and third-party sources, our internal research and our industry experience, and are based on assumptions made by us based on such data and our knowledge of our industry and market, which we believe to be reasonable. We have not independently verified industry, market and competitive position data from third-party sources, but we believe the sources of such information to be reliable. While we believe the industry, market and competitive position data included in this Annual Report on Form 10-K is reliable and is based on reasonable assumptions, such data involves risks and uncertainties and are subject to change based on various factors, including those discussed in “Risk Factors.” These and other factors could cause results to differ materially from those expressed in the estimates made by the independent parties and by 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spacing w:after="0" w:line="18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investigational gene therapies use adeno-associated virus (AAV) vectors from our proprietary gene delivery platform, which we call our NAV® Technology Platform. AAV vectors are non-replicating viral delivery vehicles that are not known to cause disease. Our NAV Technology Platform consists of exclusive rights to a large portfolio of AAV vectors, including AAV7, AAV8, AAV9, AAVrh10 and more than 100 other novel AAV vectors (NAV Vectors). We believe this platform forms a strong foundation for our current clinical-stage programs and with our ongoing research and development, we expect to continue to expand our platform and pipeline of potential AAV vector-based gene therapies. We refer to commercial and investigational AAV vector-based gene therapies as AAV Therapeutics.</w:t>
      </w:r>
    </w:p>
    <w:p>
      <w:pPr>
        <w:spacing w:after="0" w:line="19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have developed a broad pipeline of investigational AAV Therapeutics using our NAV Technology Platform as a one-time treatment to address an array of diseases. We are currently focusing our internal development pipeline in three areas: retinal, neuromuscular and neurodegenerative diseases. Our investigational AAV Therapeutics include:</w:t>
      </w:r>
    </w:p>
    <w:p>
      <w:pPr>
        <w:spacing w:after="0" w:line="292" w:lineRule="exact"/>
        <w:rPr>
          <w:sz w:val="20"/>
          <w:szCs w:val="20"/>
          <w:color w:val="auto"/>
        </w:rPr>
      </w:pPr>
    </w:p>
    <w:p>
      <w:pPr>
        <w:ind w:left="1000" w:right="38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RGX-314, which we are developing in collaboration with AbbVie to treat large patient populations impacted by wet age-related macular degeneration (wet AMD), diabetic retinopathy (DR) and other chronic retinal diseases characterized by loss of vision.</w:t>
      </w:r>
    </w:p>
    <w:p>
      <w:pPr>
        <w:spacing w:after="0" w:line="254" w:lineRule="exact"/>
        <w:rPr>
          <w:rFonts w:ascii="Arial" w:cs="Arial" w:eastAsia="Arial" w:hAnsi="Arial"/>
          <w:sz w:val="17"/>
          <w:szCs w:val="17"/>
          <w:color w:val="auto"/>
        </w:rPr>
      </w:pPr>
    </w:p>
    <w:p>
      <w:pPr>
        <w:ind w:left="1000" w:right="4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RGX-202, which we are developing to treat Duchenne muscular dystrophy (Duchenne), one of the most common fatal genetic disorders affecting children.</w:t>
      </w:r>
    </w:p>
    <w:p>
      <w:pPr>
        <w:spacing w:after="0" w:line="278"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RGX-121, RGX-111 and RGX-181, which we are developing to treat Mucopolysaccharidosis type II (MPS II), Mucopolysaccharidosis type I (MPS I), and late infantile neuronal ceroid lipofuscinosis type II (CLN2 disease), all of which are progressive, neurodegenerative lysosomal storage disorders.</w:t>
      </w:r>
    </w:p>
    <w:p>
      <w:pPr>
        <w:spacing w:after="0" w:line="291"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RGX-381, which we are developing to treat the ocular manifestations of CLN2 disease.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internal pipeline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151765</wp:posOffset>
            </wp:positionV>
            <wp:extent cx="4225925" cy="323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2592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believe that we have a strong pipeline of AAV Therapeutics with the potential to deliver one-time treatments to patients living with common and rare diseases, and we expect to have more product candidates to come.</w:t>
      </w:r>
    </w:p>
    <w:p>
      <w:pPr>
        <w:spacing w:after="0" w:line="17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believe our integrated, end-to-end expertise in discovering and developing AAV Therapeutics distinguishes us from other gene therapy companies. We have built a team of experts in research and development, scalable manufacturing and preclinical and clinical development. As a result, we believe we have the resources and capabilities to conduct early research and preclinical testing, advance AAV Therapeutics into clinical development and manufacture new potential therapies for patients.</w:t>
      </w:r>
    </w:p>
    <w:p>
      <w:pPr>
        <w:spacing w:after="0" w:line="18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believe our history, science, resources, people and values combine to make us an industry leader in gene therapy and the development of potentially ground-breaking AAV Therapeutics. As such, we believe we are well-positioned to achieve our mission to improve lives through the curative potential of gene therapy.</w:t>
      </w:r>
    </w:p>
    <w:p>
      <w:pPr>
        <w:spacing w:after="0" w:line="1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believe AAV Therapeutics represent a simplified and efficient potential new class of innovative medicines. We believe that our end-to-end capabilities to develop, manufacture and clinically advance AAV Therapeutics will support the achievement of our 2025 goals, such that by the end of 2025, we can grow into a company with multiple AAV Therapeutics that are FDA-approved or in pivotal trials through our internal and partnered programs that can help ensure our continued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AAV Therapeutics</w:t>
      </w:r>
    </w:p>
    <w:p>
      <w:pPr>
        <w:spacing w:after="0" w:line="22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Historically, the primary challenge for gene therapy has been the safe and effective delivery of genes into cells. Genes are made of DNA, which is a large, highly charged molecule that is difficult to transport across a cell membrane and deliver to the nucleus, where it can be transcribed and translated into protein. The genetic material needs to be delivered efficiently and to the desired target tissues and cell types, which will vary depending on the disease to be treated. Based on this need, scientists have designed and developed a variety of gene vectors in order to facilitate gene delivery in cells.</w:t>
      </w:r>
    </w:p>
    <w:p>
      <w:pPr>
        <w:spacing w:after="0" w:line="157"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 xml:space="preserve">We focus 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Among vectors available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viral vectors have been adopted frequently due to their demonstrated efficiency in gene delivery to date. Since AAVs are not known to be associated with disease in humans, vectors derived from AAV have promising safety profiles for gene therapy.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NAV Technology Platform</w:t>
      </w:r>
    </w:p>
    <w:p>
      <w:pPr>
        <w:spacing w:after="0" w:line="229"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2009, we acquired exclusive rights to our NAV Technology Platform. Our NAV Technology Platform includes over 100 NAV Vectors, as well as vectors that are at least 95% identical to any NAV Vector, that provide the foundation for the development of new AAV Therapeutics. We have observed that several of our NAV Vectors demonstrate preferential tropisms for a range of tissues, as well as efficient transgene delivery and expression that may produce a therapeutic effect. Our NAV Technology Platform has enabled the development of a number of AAV Therapeutics being investigated in clinical trials and one that is FDA-approved.</w:t>
      </w:r>
    </w:p>
    <w:p>
      <w:pPr>
        <w:spacing w:after="0" w:line="188"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For many years, by sublicensing NAV Vectors from our NAV Technology Platform to other biopharmaceutical companies with disease-specific expertise, which we refer to as our NAV Technology Licensees, we received capital to advance our own research and capabilities. Our NAV Technology Platform is being applied to a number of programs over a broad range of therapeutic areas and disease indications by our NAV Technology Licensees. These partnered programs include Novartis’ Zolgensma®, a gene therapy for the treatment of spinal muscular atrophy (SMA), which was approved by the U.S. Food and Drug Administration in 2019, and has been used to treat over 1,800 patients suffering from SMA, a debilitating and potentially deadly disease. Our partnering strategy provides us the flexibility to sublicense development of treatments designed to address significant unmet medical needs, while remaining focused on our own pipeline of AAV Therapeutics.</w:t>
      </w:r>
    </w:p>
    <w:p>
      <w:pPr>
        <w:spacing w:after="0" w:line="17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believe we have extensive human safety experience to support the development of our investigational AAV Therapeutics based on data from over 2,000 patients dosed with AAV Therapeutics derived from our NAV Technology Platform in more than 20 different clinical-stage programs and with one FDA approved product. To date, we have observed that AAV Therapeutics derived from our NAV Technology Platform have been generally well tolerated.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AAV Therapeutic Platform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and Development of AAV Therapeutics</w:t>
      </w:r>
    </w:p>
    <w:p>
      <w:pPr>
        <w:spacing w:after="0" w:line="22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We have a team of scientists and engineers dedicated to expanding the understanding and applications of AAV vectors, applying the differentiated capabilities of the NAV Technology Platform and exploring the potential to generate new, innovative AAV Therapeutics. We endeavor to rapidly discover and develop a pipeline of investigational AAV Therapeutics with the potential, through a single administration, to alter the course of disease significantly and deliver improved patient outcomes with long-lasting effects. We believe that we have created a reproducible process and modular platform for the discovery and development of innovative AAV Therapeutics.</w:t>
      </w:r>
    </w:p>
    <w:p>
      <w:pPr>
        <w:spacing w:after="0" w:line="188"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Our scientists are continuing to conduct research to evaluate NAV Vectors to identify and characterize more clinically relevant features and benefits. We are also engineering novel capsids by leveraging the natural diversity of our NAV Vectors and our detailed knowledge of AAV structure and function. We are designing additional NAV Vectors with new features that may enhance tissue and cell type specificity, increase potency and potentially improve the safety profile of AAV Therapeutics. Through our internal efforts and collaborations, we are also designing novel vectors to which we add high affinity targeting domains with the goal of enabling them to deliver genes more precisely to specific tissues and cells.</w:t>
      </w:r>
    </w:p>
    <w:p>
      <w:pPr>
        <w:spacing w:after="0" w:line="176"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With AAV Therapeutics, the gene is eventually transported to the cell nucleus where it is transcribed into RNA. The production of RNA in the cell is controlled by transcriptional elements called enhancers and promoters that are linked to the gene. We have designed optimized enhancer and promoter combinations with the goal of enabling sustained gene expression and potentially increasing durability of therapeutic effect.</w:t>
      </w:r>
    </w:p>
    <w:p>
      <w:pPr>
        <w:spacing w:after="0" w:line="165" w:lineRule="exact"/>
        <w:rPr>
          <w:sz w:val="20"/>
          <w:szCs w:val="20"/>
          <w:color w:val="auto"/>
        </w:rPr>
      </w:pPr>
    </w:p>
    <w:p>
      <w:pPr>
        <w:jc w:val="both"/>
        <w:ind w:right="640" w:firstLine="510"/>
        <w:spacing w:after="0" w:line="342" w:lineRule="auto"/>
        <w:rPr>
          <w:sz w:val="20"/>
          <w:szCs w:val="20"/>
          <w:color w:val="auto"/>
        </w:rPr>
      </w:pPr>
      <w:r>
        <w:rPr>
          <w:rFonts w:ascii="Arial" w:cs="Arial" w:eastAsia="Arial" w:hAnsi="Arial"/>
          <w:sz w:val="16"/>
          <w:szCs w:val="16"/>
          <w:color w:val="auto"/>
        </w:rPr>
        <w:t>We can design our AAV Therapeutics to deliver genes for a spectrum of therapeutic modalities. Our current pipeline of investigational AAV Therapeutics use NAV Vectors to deliver genes for a therapeutic antibody, or a functional gene to compensate for a missing or non-functional gene.</w:t>
      </w:r>
    </w:p>
    <w:p>
      <w:pPr>
        <w:spacing w:after="0" w:line="12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 xml:space="preserve">We also conduct research studying the potential of NAV Vectors to deliver modified RNA, such as microRNA (miRNA) or antisense sequences, which could alter the structure or silence an RNA transcript. We have created a platform for designing efficient miRNAs to address targets of interest while avoiding off-target effects and cellular toxicity. In addition, NAV Vectors have been designed to enable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which involves the alteration of a gene via targeted insertion or deletion of DNA base pairs.</w:t>
      </w:r>
    </w:p>
    <w:p>
      <w:pPr>
        <w:spacing w:after="0" w:line="18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addition to our research evaluating NAV Vectors, we also work on identifying potential indications for the development of new AAV Therapeutics, guided by our expertise and experience in bringing AAV Therapeutics to the clinical stage. Our early evaluation of targets includes scientific rationale and cross-functional analysis of technical feasibility. In our exploratory research, we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work internally and through collaborations with external researchers to identify and optimize AAV Therapeutics based on AAV vector targeting, gene optimization and evaluation of effective delivery devices. We then execute proof-of-concept research that informs the next steps in our pipeline strategy. While much of our research into potential AAV Therapeutics extends from our clinical expertise in eye diseases, AAV-mediated antibody delivery, neurodegenerative diseases and neuromuscular diseases, we are also able to research potential opportunities to advance AAV Therapeutics for new disease areas.</w:t>
      </w:r>
    </w:p>
    <w:p>
      <w:pPr>
        <w:spacing w:after="0" w:line="188" w:lineRule="exact"/>
        <w:rPr>
          <w:sz w:val="20"/>
          <w:szCs w:val="20"/>
          <w:color w:val="auto"/>
        </w:rPr>
      </w:pPr>
    </w:p>
    <w:p>
      <w:pPr>
        <w:jc w:val="both"/>
        <w:ind w:right="340" w:firstLine="510"/>
        <w:spacing w:after="0" w:line="259" w:lineRule="auto"/>
        <w:rPr>
          <w:sz w:val="20"/>
          <w:szCs w:val="20"/>
          <w:color w:val="auto"/>
        </w:rPr>
      </w:pPr>
      <w:r>
        <w:rPr>
          <w:rFonts w:ascii="Arial" w:cs="Arial" w:eastAsia="Arial" w:hAnsi="Arial"/>
          <w:sz w:val="18"/>
          <w:szCs w:val="18"/>
          <w:color w:val="auto"/>
        </w:rPr>
        <w:t>Our platform capabilities include a team of scientists that develop analytical assays and approaches to support our preclinical and clinical-stage pipeline. The ability to determine dose levels, biodistribution, and target engagement requires an understanding of complex variables that are related to properties of both the NAV Vector and the gene, and dependent on the delivery device. We believe that our analytical capabilities are at the forefront of AAV Therapeutic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AAV Therapeutic Manufacturing</w:t>
      </w:r>
    </w:p>
    <w:p>
      <w:pPr>
        <w:spacing w:after="0" w:line="225"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Our research team works closely with our manufacturing team, allowing us to evaluate the manufacturability of AAV Therapeutics early in the discovery process. Through our ability to collaborate cross-functionally, we can move quickly from candidate selection to the manufacturing of clinical-grade material, which we believe allows us to accelerate the process of developing AAV Therapeutics.</w:t>
      </w:r>
    </w:p>
    <w:p>
      <w:pPr>
        <w:spacing w:after="0" w:line="18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have invested in innovative manufacturing process development and analytical capabilities and use a suspension cell culture-based manufacturing process. We have deep in-house knowledge of biologics manufacturing, which we believe will enable us to scale manufacturing of our AAV Therapeutics while ensuring product quality for patients. We have developed systems which we believe will provide robust manufacturing and global supply of AAV Therapeutics to meet quality requirements and anticipated research, clinical, and future commercial demand. Our planned Good Manufacturing Practices (cGMP) production facility, located in our new corporate headquarters in Rockville, Maryland, has been designed to support production of AAV Therapeutics.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developed a proprietary, high-yielding manufacturing process platform for NAV vector production that can be applied across multiple AAV Therapeutics. The suspension-based manufacturing platform has demonstrated robust scalability from bench-scale to 500 liter and 1,000-liter cGMP batches with consistent yield and product purity demonstrated via comparability studies. At our manufacturing facility, we expect to scale the manufacturing process to 2,000 liters. We believe this flexibility in manufacturing will support a wide range of potential commercial supply requirements for our AAV Therapeutics.</w:t>
      </w:r>
    </w:p>
    <w:p>
      <w:pPr>
        <w:spacing w:after="0" w:line="18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have developed product formulations specific to our different delivery devices and routes of administration. We aim to ensure that our formulations are designed and assessed to ensure product stability can be maintained for numerous years and that our AAV Therapeutics can be exposed to a variety of handling and delivery procedures.</w:t>
      </w:r>
    </w:p>
    <w:p>
      <w:pPr>
        <w:spacing w:after="0" w:line="18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have endeavored to design our platform manufacturing process, formulations and devices to enable efficient transition from research to clinical trials to commercial readiness, while minimizing changes during product development. To support our platform, we have developed a comprehensive set of analytical methods to assess quality and characterize the product. We continue to expand and enhance internal analytical lab capabilities with the aim of improving quality and control and supporting accelerated development of AAV Therapeutics.</w:t>
      </w:r>
    </w:p>
    <w:p>
      <w:pPr>
        <w:spacing w:after="0" w:line="17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have agreements with several biologics contract development and manufacturing organizations (CDMOs) for production of material under cGMP requirements to support our current and future clinical trials, as well as potential future commercialization of our investigational AAV Therapeutics. We select our CDMOs based on capability, capacity and expertise, and we believe partnering with multiple CDMOs provides us with flexibility and diversity in suppliers, as well as access to future capacity to accommodate clinical trials and commercialization. We have a strategic partnership with FUJIFILM Diosynth Biotechnologies for the manufacture of our investigational AAV Therapeutics. Under the terms of the agreement, we secured capacity for the supply of cGMP NAV Vector drug substance produced at scales up to 2,000 liters. We also have agreements with several CDMOs for cGMP final drug product manufacturing and have produced numerous batches for our clinical trials.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AAV Therapeutic Delivery Devices</w:t>
      </w:r>
    </w:p>
    <w:p>
      <w:pPr>
        <w:spacing w:after="0" w:line="225"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believe that a critical component of AAV Therapeutic development is to deliver treatments safely, effectively and efficiently to the right part of the body. We leverage the differentiated characteristics of NAV Vectors to target different tissues and cells. To further enhance the profile of AAV Therapeutics, we have developed a platform of different devices to assist in the delivery of AAV Therapeutics using multiple routes of administration to tissues and cells.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have developed significant expertise in designing delivery device systems for use with AAV Therapeutics and have also developed and in-licensed relevant intellectual property, including know-how, related to delivery devices. Our research and development activities have involved several delivery device advancements for AAV Therapeutics. We focus research on designing features and implementing delivery device solutions that we believe have the potential to improve the effect, patient safety, caregiver usability and cost-of-goods of AAV Therapeutics.</w:t>
      </w:r>
    </w:p>
    <w:p>
      <w:pPr>
        <w:spacing w:after="0" w:line="17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have advanced image-guided device delivery of AAV Therapeutics into the cerebrospinal fluid to target the brain and central nervous system for neurodegenerative diseases. In 2018, in our clinical trial for the treatment of MPS II, an investigational AAV Therapeutic was delivered to a patient using an intracisternal delivery device for the first time. We have also led the development of two different types of delivery devices of AAV Therapeutics into the eye for targeting the retina of patients. In 2020, in our clinical trial for the in-office treatment of wet AMD, an investigational AAV Therapeutic was delivered to a patient using a novel, suprachoroidal delivery device for the first time. In 2020, we initiated a pivotal phase program for RGX-314 using an automated subretinal delivery device for the treatment of wet AMD. As part of our delivery device expertise, we have created teams of experts to support and train physicians to deliver AAV Therapeutics in operating room and physician office settings.</w:t>
      </w:r>
    </w:p>
    <w:p>
      <w:pPr>
        <w:spacing w:after="0" w:line="17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In recent years, a tremendous amount of progress has been made in the development of AAV Therapeutics, and we believe we have been a leader in these advancements.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Investigational AAV Therapeutics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currently focusing our internal development pipeline in three areas: retinal diseases, neuromuscular diseases and neurodegenerative diseases.</w:t>
      </w:r>
    </w:p>
    <w:p>
      <w:pPr>
        <w:spacing w:after="0" w:line="24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RGX</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314 for the Treatment of Wet AMD, DR and Other Chronic Retinal Diseases</w:t>
      </w:r>
    </w:p>
    <w:p>
      <w:pPr>
        <w:spacing w:after="0" w:line="225" w:lineRule="exact"/>
        <w:rPr>
          <w:sz w:val="20"/>
          <w:szCs w:val="20"/>
          <w:color w:val="auto"/>
        </w:rPr>
      </w:pPr>
    </w:p>
    <w:p>
      <w:pPr>
        <w:ind w:right="220" w:firstLine="510"/>
        <w:spacing w:after="0" w:line="220" w:lineRule="exact"/>
        <w:rPr>
          <w:sz w:val="20"/>
          <w:szCs w:val="20"/>
          <w:color w:val="auto"/>
        </w:rPr>
      </w:pPr>
      <w:r>
        <w:rPr>
          <w:rFonts w:ascii="Arial" w:cs="Arial" w:eastAsia="Arial" w:hAnsi="Arial"/>
          <w:sz w:val="18"/>
          <w:szCs w:val="18"/>
          <w:color w:val="auto"/>
        </w:rPr>
        <w:t>We are developing RGX</w:t>
      </w:r>
      <w:r>
        <w:rPr>
          <w:rFonts w:ascii="MS PGothic" w:cs="MS PGothic" w:eastAsia="MS PGothic" w:hAnsi="MS PGothic"/>
          <w:sz w:val="18"/>
          <w:szCs w:val="18"/>
          <w:color w:val="auto"/>
        </w:rPr>
        <w:t>‑</w:t>
      </w:r>
      <w:r>
        <w:rPr>
          <w:rFonts w:ascii="Arial" w:cs="Arial" w:eastAsia="Arial" w:hAnsi="Arial"/>
          <w:sz w:val="18"/>
          <w:szCs w:val="18"/>
          <w:color w:val="auto"/>
        </w:rPr>
        <w:t>314 in collaboration with AbbVie as a potential one-time treatment for wet AMD, DR and other chronic retinal diseases. These diseases are characterized by loss of vision due to excess fluid accumulation from new blood vessel formation and treated with anti-vascular endothelial growth factor (anti-VEGF) therapies.</w:t>
      </w:r>
    </w:p>
    <w:p>
      <w:pPr>
        <w:spacing w:after="0" w:line="20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Wet AMD is the leading cause of vision loss in people over 60, affecting more than 2 million patients in the United States, Europe and Japan. The risk for developing wet AMD increases with age and we anticipate that the incidence of new cases will continue to increase significantly with the growth of the aging population. In patients with wet AMD, fluid accumulation can result in physical changes in the structure of the retina and adverse changes in vision. As this process progresses, blindness can result from atrophy and scar formation.</w:t>
      </w:r>
    </w:p>
    <w:p>
      <w:pPr>
        <w:spacing w:after="0" w:line="18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DR is a complication of diabetes and is the leading cause of blindness in adults between 24 and 75 years of age worldwide. It is a progressive retinopathy, and the spectrum of DR severity ranges from non-proliferative diabetic retinopathy (NPDR) to proliferative diabetic retinopathy (PDR). As DR progresses, a large proportion of patients develop vision-threatening complications, including diabetic macular edema (DME) and neovascularization that can lead to blindness. An estimated 27 million patients are affected with DR across the US, Europe and Japan, and of those, there are more than 23 million DR patients without center-involved DME. DR is the leading cause of vision loss in working-age adults and the incidence is expected to continue to grow significantly with the prevalence of diabetes.</w:t>
      </w:r>
    </w:p>
    <w:p>
      <w:pPr>
        <w:spacing w:after="0" w:line="19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Frequent anti-VEGF injections in the eye have been shown to reduce the risk of blindness in randomized controlled clinical trials and are approved for the treatment of wet AMD and DR. The current standard-of-care anti-VEGF treatments require patients to receive injections in the eye every four to 12 weeks for the duration of the disease. Real world evidence shows that patients with wet AMD are severely undertreated, and DR patients with early non-proliferative disease are often not treated due to the unsustainable treatment burden of administering frequent injections required with currently approved anti-VEGF therapies. As a result, the majority of wet AMD patients experience significant vision loss over time and most patients with early non-proliferative DR progress to more severe forms of the proliferative disease, developing common vision-threatening complications such as center-involved DME and proliferative DR.</w:t>
      </w:r>
    </w:p>
    <w:p>
      <w:pPr>
        <w:spacing w:after="0" w:line="195" w:lineRule="exact"/>
        <w:rPr>
          <w:sz w:val="20"/>
          <w:szCs w:val="20"/>
          <w:color w:val="auto"/>
        </w:rPr>
      </w:pPr>
    </w:p>
    <w:p>
      <w:pPr>
        <w:ind w:right="40" w:firstLine="510"/>
        <w:spacing w:after="0" w:line="220" w:lineRule="exact"/>
        <w:rPr>
          <w:sz w:val="20"/>
          <w:szCs w:val="20"/>
          <w:color w:val="auto"/>
        </w:rPr>
      </w:pPr>
      <w:r>
        <w:rPr>
          <w:rFonts w:ascii="Arial" w:cs="Arial" w:eastAsia="Arial" w:hAnsi="Arial"/>
          <w:sz w:val="18"/>
          <w:szCs w:val="18"/>
          <w:color w:val="auto"/>
        </w:rPr>
        <w:t>RGX</w:t>
      </w:r>
      <w:r>
        <w:rPr>
          <w:rFonts w:ascii="MS PGothic" w:cs="MS PGothic" w:eastAsia="MS PGothic" w:hAnsi="MS PGothic"/>
          <w:sz w:val="18"/>
          <w:szCs w:val="18"/>
          <w:color w:val="auto"/>
        </w:rPr>
        <w:t>‑</w:t>
      </w:r>
      <w:r>
        <w:rPr>
          <w:rFonts w:ascii="Arial" w:cs="Arial" w:eastAsia="Arial" w:hAnsi="Arial"/>
          <w:sz w:val="18"/>
          <w:szCs w:val="18"/>
          <w:color w:val="auto"/>
        </w:rPr>
        <w:t>314 is being developed as a novel, one-time treatment that includes the NAV AAV8 vector containing a gene for a monoclonal antibody fragment designed to inhibit VEGF activity, modifying the pathway for formation of new leaky blood vessels and retinal fluid accumulation. After delivery of RGX</w:t>
      </w:r>
      <w:r>
        <w:rPr>
          <w:rFonts w:ascii="MS PGothic" w:cs="MS PGothic" w:eastAsia="MS PGothic" w:hAnsi="MS PGothic"/>
          <w:sz w:val="18"/>
          <w:szCs w:val="18"/>
          <w:color w:val="auto"/>
        </w:rPr>
        <w:t>‑</w:t>
      </w:r>
      <w:r>
        <w:rPr>
          <w:rFonts w:ascii="Arial" w:cs="Arial" w:eastAsia="Arial" w:hAnsi="Arial"/>
          <w:sz w:val="18"/>
          <w:szCs w:val="18"/>
          <w:color w:val="auto"/>
        </w:rPr>
        <w:t>314, we believe retinal cells will continue to produce the anti-VEGF protein. Two separate routes of administration of RGX-314 to the eye are being evaluated: a subretinal delivery procedure as well as a</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targeted, in-office administration to the suprachoroidal space. We have licensed certain exclusive rights to the SCS Microinjector</w:t>
      </w:r>
      <w:r>
        <w:rPr>
          <w:rFonts w:ascii="Arial" w:cs="Arial" w:eastAsia="Arial" w:hAnsi="Arial"/>
          <w:sz w:val="15"/>
          <w:szCs w:val="15"/>
          <w:color w:val="auto"/>
        </w:rPr>
        <w:t>®</w:t>
      </w:r>
      <w:r>
        <w:rPr>
          <w:rFonts w:ascii="Arial" w:cs="Arial" w:eastAsia="Arial" w:hAnsi="Arial"/>
          <w:sz w:val="18"/>
          <w:szCs w:val="18"/>
          <w:color w:val="auto"/>
        </w:rPr>
        <w:t xml:space="preserve"> from Clearside Biomedical, Inc. (Clearside) to deliver gene therapy treatments to the suprachoroidal space of the eye.</w:t>
      </w:r>
    </w:p>
    <w:p>
      <w:pPr>
        <w:spacing w:after="0" w:line="170"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Clinical Development of 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314 for the Treatment of Wet AMD</w:t>
      </w:r>
    </w:p>
    <w:p>
      <w:pPr>
        <w:spacing w:after="0" w:line="225"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We have initiated two pivotal trials, ATMOSPHERE™ and ASCENT™, for the treatment of wet AMD using RGX-314 delivered subretinally, and we expect these pivotal trials to support a Biologics Licensing Application (BLA) submission in 2024. ATMOSPHERE and ASCENT are multi-center, randomized, active-controlled trials to evaluate the efficacy and safety of a single-administration of RGX-314 versus standard of care in patients with wet AMD. Both trials are active and enrolling patients. We initiated the pivotal program using cGMP material produced from our existing manufacturing process and plan to incorporate our scalable suspension cell culture manufacturing process to support future commercialization, upon completion of a bridging study.</w:t>
      </w:r>
    </w:p>
    <w:p>
      <w:pPr>
        <w:spacing w:after="0" w:line="19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are also evaluating the efficacy, safety and tolerability of suprachoroidal delivery of RGX-314 through AAVIATE</w:t>
      </w:r>
      <w:r>
        <w:rPr>
          <w:rFonts w:ascii="Arial" w:cs="Arial" w:eastAsia="Arial" w:hAnsi="Arial"/>
          <w:sz w:val="15"/>
          <w:szCs w:val="15"/>
          <w:color w:val="auto"/>
        </w:rPr>
        <w:t>®</w:t>
      </w:r>
      <w:r>
        <w:rPr>
          <w:rFonts w:ascii="Arial" w:cs="Arial" w:eastAsia="Arial" w:hAnsi="Arial"/>
          <w:sz w:val="18"/>
          <w:szCs w:val="18"/>
          <w:color w:val="auto"/>
        </w:rPr>
        <w:t>, a multi-center, open label, randomized, controlled, dose-escalation Phase II trial of RGX-314 for the treatment of wet AMD. Enrollment in AAVIATE is complete in Cohort 4 and expected to be completed in Cohort 5 in the first half of 2022.</w:t>
      </w:r>
    </w:p>
    <w:p>
      <w:pPr>
        <w:spacing w:after="0" w:line="184" w:lineRule="exact"/>
        <w:rPr>
          <w:sz w:val="20"/>
          <w:szCs w:val="20"/>
          <w:color w:val="auto"/>
        </w:rPr>
      </w:pPr>
    </w:p>
    <w:p>
      <w:pPr>
        <w:ind w:right="260" w:firstLine="510"/>
        <w:spacing w:after="0" w:line="273" w:lineRule="auto"/>
        <w:rPr>
          <w:sz w:val="20"/>
          <w:szCs w:val="20"/>
          <w:color w:val="auto"/>
        </w:rPr>
      </w:pPr>
      <w:r>
        <w:rPr>
          <w:rFonts w:ascii="Arial" w:cs="Arial" w:eastAsia="Arial" w:hAnsi="Arial"/>
          <w:sz w:val="17"/>
          <w:szCs w:val="17"/>
          <w:color w:val="auto"/>
        </w:rPr>
        <w:t>In November 2021, we announced additional positive interim data from AAVIATE. As of November 4, 2021, RGX-314 continued to be well tolerated in 50 patients from Cohorts 1-3 with no drug-related serious adverse events (SAEs) in AAVIATE. At six months following one-time administration of RGX-314, stable visual acuity and retinal thickness, as well as a meaningful reduction (&gt;70%) in anti-VEGF treatment burden was observed in patients in Cohort 2, with 40% of patients anti-VEGF injection-free. Mild intraocular inflammation observed on slit-lamp examination was reported at similar incidence across both dose levels in Cohorts 1 and 2, with four out of 15 patients in Cohort 1 and three out of 15 patients in Cohort 2. All cases of inflammation in both cohorts were resolved within days to weeks on topical corticosteroids.</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Clinical Development of 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314 for the Treatment of DR</w:t>
      </w:r>
    </w:p>
    <w:p>
      <w:pPr>
        <w:spacing w:after="0" w:line="225"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We are evaluating the efficacy, safety and tolerability of suprachoroidal delivery of RGX-314 for the treatment of DR in ALTITUDE</w:t>
      </w:r>
      <w:r>
        <w:rPr>
          <w:rFonts w:ascii="Arial" w:cs="Arial" w:eastAsia="Arial" w:hAnsi="Arial"/>
          <w:sz w:val="15"/>
          <w:szCs w:val="15"/>
          <w:color w:val="auto"/>
        </w:rPr>
        <w:t>TM</w:t>
      </w:r>
      <w:r>
        <w:rPr>
          <w:rFonts w:ascii="Arial" w:cs="Arial" w:eastAsia="Arial" w:hAnsi="Arial"/>
          <w:sz w:val="18"/>
          <w:szCs w:val="18"/>
          <w:color w:val="auto"/>
        </w:rPr>
        <w:t>, a multi-center, open label, randomized, controlled, dose-escalation Phase II trial. We expect to complete enrollment in ALTITUDE in Cohorts 2 and 3 in the first half of 2022.</w:t>
      </w:r>
    </w:p>
    <w:p>
      <w:pPr>
        <w:spacing w:after="0" w:line="1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February 2022, we presented positive interim data from ALTITUDE. As of January 18, 2022, suprachoroidal delivery of RGX-314 continued to be well tolerated in the 15 patients dosed with RGX-314 in Cohort 1, with no drug-related SAEs, and no intraocular inflammation observed. Of the patients dosed with RGX-314 in Cohort 1, 47% demonstrated a two-step or greater improvement from baseline on the Early Treatment Diabetic Retinopathy Study-Diabetic Retinopathy Severity Scale (ETDRS-DRSS) at six months, compared to 0% in the observational control group. One patient (7%) dosed with RGX-314 continued to demonstrate a four-step improvement. The percentage of Cohort 1 patients dosed with RGX-314 achieving at least two-step improvement at six months in RGX-314 treated eyes (47%) increased from the previously reported three-month results (33%).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RGX-202 for the Treatment of Duchenne</w:t>
      </w:r>
    </w:p>
    <w:p>
      <w:pPr>
        <w:spacing w:after="0" w:line="22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RGX-202 is our investigational AAV Therapeutic for the treatment of Duchenne, a rare disease caused by mutations in the gene responsible for making dystrophin, a protein of central importance for muscle cell structure and function. Without dystrophin, muscles throughout the body degenerate and become weak, eventually leading to loss of movement and independence, required support for breathing, cardiomyopathy and premature death. There is presently no cure for Duchenne, and for most patients, there are no satisfactory disease modifying treatments available. Duchenne is one of the most common fatal genetic disorders affecting children, primarily boys. Duchenne is estimated to occur in approximately one in every 3,500-5,000 live male births and has an estimated prevalence of more than 30,000 cases in the U.S., Europe and Japan.</w:t>
      </w:r>
    </w:p>
    <w:p>
      <w:pPr>
        <w:spacing w:after="0" w:line="17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RGX-202 is designed to deliver a transgene for a novel microdystrophin that includes the functional elements of the C-Terminal (CT) domain found in naturally occurring dystrophin. Presence of the CT domain has been shown in preclinical studies to recruit several key proteins to the muscle cell membrane, leading to improved muscle resistance to contraction-induced muscle damage in dystrophic mice. Additional design features, including codon optimization and reduced CpG content, may potentially improve gene expression, increase translational efficiency and reduce immunogenicity. RGX-202 is designed to support the delivery and targeted expression of genes throughout skeletal and heart muscle using the NAV AAV8 vector, and a well-characterized muscle-specific promoter (Spc5-12).</w:t>
      </w:r>
    </w:p>
    <w:p>
      <w:pPr>
        <w:spacing w:after="0" w:line="192"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We have received orphan drug product designation and rare pediatric disease designation from the FDA for RGX</w:t>
      </w:r>
      <w:r>
        <w:rPr>
          <w:rFonts w:ascii="MS PGothic" w:cs="MS PGothic" w:eastAsia="MS PGothic" w:hAnsi="MS PGothic"/>
          <w:sz w:val="18"/>
          <w:szCs w:val="18"/>
          <w:color w:val="auto"/>
        </w:rPr>
        <w:t>‑</w:t>
      </w:r>
      <w:r>
        <w:rPr>
          <w:rFonts w:ascii="Arial" w:cs="Arial" w:eastAsia="Arial" w:hAnsi="Arial"/>
          <w:sz w:val="18"/>
          <w:szCs w:val="18"/>
          <w:color w:val="auto"/>
        </w:rPr>
        <w:t>202.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Clinical Development of RGX-202</w:t>
      </w:r>
    </w:p>
    <w:p>
      <w:pPr>
        <w:spacing w:after="0" w:line="225"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We have received clearance of our Investigational New Drug (IND) application by the FDA to evaluate RGX-202 in a first-in-human, Phase I/II clinical trial, named AFFINITY DUCHENNE</w:t>
      </w:r>
      <w:r>
        <w:rPr>
          <w:rFonts w:ascii="Arial" w:cs="Arial" w:eastAsia="Arial" w:hAnsi="Arial"/>
          <w:sz w:val="13"/>
          <w:szCs w:val="13"/>
          <w:color w:val="auto"/>
        </w:rPr>
        <w:t>TM</w:t>
      </w:r>
      <w:r>
        <w:rPr>
          <w:rFonts w:ascii="Arial" w:cs="Arial" w:eastAsia="Arial" w:hAnsi="Arial"/>
          <w:sz w:val="16"/>
          <w:szCs w:val="16"/>
          <w:color w:val="auto"/>
        </w:rPr>
        <w:t>, which is expected to initiate in the first half of 2022. This will be a multicenter, open-label dose escalation and dose expansion clinical trial to evaluate the safety, tolerability and clinical efficacy of RGX-202 in patients with Duchenne.</w:t>
      </w:r>
    </w:p>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RGX</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121 for the Treatment of MPS II</w:t>
      </w:r>
    </w:p>
    <w:p>
      <w:pPr>
        <w:spacing w:after="0" w:line="225" w:lineRule="exact"/>
        <w:rPr>
          <w:sz w:val="20"/>
          <w:szCs w:val="20"/>
          <w:color w:val="auto"/>
        </w:rPr>
      </w:pPr>
    </w:p>
    <w:p>
      <w:pPr>
        <w:ind w:firstLine="510"/>
        <w:spacing w:after="0" w:line="218" w:lineRule="exact"/>
        <w:rPr>
          <w:sz w:val="20"/>
          <w:szCs w:val="20"/>
          <w:color w:val="auto"/>
        </w:rPr>
      </w:pPr>
      <w:r>
        <w:rPr>
          <w:rFonts w:ascii="Arial" w:cs="Arial" w:eastAsia="Arial" w:hAnsi="Arial"/>
          <w:sz w:val="16"/>
          <w:szCs w:val="16"/>
          <w:color w:val="auto"/>
        </w:rPr>
        <w:t>RGX</w:t>
      </w:r>
      <w:r>
        <w:rPr>
          <w:rFonts w:ascii="MS PGothic" w:cs="MS PGothic" w:eastAsia="MS PGothic" w:hAnsi="MS PGothic"/>
          <w:sz w:val="16"/>
          <w:szCs w:val="16"/>
          <w:color w:val="auto"/>
        </w:rPr>
        <w:t>‑</w:t>
      </w:r>
      <w:r>
        <w:rPr>
          <w:rFonts w:ascii="Arial" w:cs="Arial" w:eastAsia="Arial" w:hAnsi="Arial"/>
          <w:sz w:val="16"/>
          <w:szCs w:val="16"/>
          <w:color w:val="auto"/>
        </w:rPr>
        <w:t xml:space="preserve">121 is our investigational AAV Therapeutic for the treatment of MPS II. MPS II, also known as Hunter syndrome, is a rare disease caused by a deficiency of the </w:t>
      </w:r>
      <w:r>
        <w:rPr>
          <w:rFonts w:ascii="Arial" w:cs="Arial" w:eastAsia="Arial" w:hAnsi="Arial"/>
          <w:sz w:val="16"/>
          <w:szCs w:val="16"/>
          <w:i w:val="1"/>
          <w:iCs w:val="1"/>
          <w:color w:val="auto"/>
        </w:rPr>
        <w:t>IDS</w:t>
      </w:r>
      <w:r>
        <w:rPr>
          <w:rFonts w:ascii="Arial" w:cs="Arial" w:eastAsia="Arial" w:hAnsi="Arial"/>
          <w:sz w:val="16"/>
          <w:szCs w:val="16"/>
          <w:color w:val="auto"/>
        </w:rPr>
        <w:t xml:space="preserve"> gene which encodes the I2S enzyme. I2S is responsible for the breakdown of polysaccharides called heparan sulfate (HS) and dermatan sulfate (DS) in lysosomes, which are structures that dispose of waste products inside cells. These polysaccharides, called glycosaminoglycans (GAGs), accumulate in tissues of MPS II patients, resulting in diverse clinical signs and symptoms. HS is a key biomarker of I2S enzyme activity and high amounts of HS accumulate in the central nervous system (CNS) of MPS II patients, which has been shown to correlate with neurocognitive manifestations of the disease. In severe forms of the disease, early developmental milestones may be met during the first year after birth, but developmental delay is readily apparent by 18 to 24 months. Developmental progression begins to plateau between three and five years of age, with regression reported to begin around six and a half years. By the time of death, most patients with CNS involvement are severely mentally handicapped and require constant care. MPS</w:t>
      </w:r>
    </w:p>
    <w:p>
      <w:pPr>
        <w:spacing w:after="0" w:line="1" w:lineRule="exact"/>
        <w:rPr>
          <w:sz w:val="20"/>
          <w:szCs w:val="20"/>
          <w:color w:val="auto"/>
        </w:rPr>
      </w:pPr>
    </w:p>
    <w:p>
      <w:pPr>
        <w:ind w:right="200" w:firstLine="8"/>
        <w:spacing w:after="0" w:line="260" w:lineRule="auto"/>
        <w:tabs>
          <w:tab w:leader="none" w:pos="165"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estimated to occur in approximately 1 in 100,000 to 1 in 170,000 births worldwide. Based on global population, this equates to approximately 500 to 1,000 MPS II patients born each year worldwide.</w:t>
      </w:r>
    </w:p>
    <w:p>
      <w:pPr>
        <w:spacing w:after="0" w:line="185" w:lineRule="exact"/>
        <w:rPr>
          <w:sz w:val="20"/>
          <w:szCs w:val="20"/>
          <w:color w:val="auto"/>
        </w:rPr>
      </w:pPr>
    </w:p>
    <w:p>
      <w:pPr>
        <w:ind w:right="520" w:firstLine="504"/>
        <w:spacing w:after="0" w:line="263" w:lineRule="auto"/>
        <w:rPr>
          <w:sz w:val="20"/>
          <w:szCs w:val="20"/>
          <w:color w:val="auto"/>
        </w:rPr>
      </w:pPr>
      <w:r>
        <w:rPr>
          <w:rFonts w:ascii="Arial" w:cs="Arial" w:eastAsia="Arial" w:hAnsi="Arial"/>
          <w:sz w:val="18"/>
          <w:szCs w:val="18"/>
          <w:color w:val="auto"/>
        </w:rPr>
        <w:t>Enzyme replacement therapy (ERT), the current standard of care for patients with MPS II, does not treat CNS manifestations of the disease because the enzyme cannot cross the blood-brain barrier. We believe that specific treatment to address the neurological manifestations of MPS II and prevent or stabilize cognitive decline remains a significant unmet medical need.</w:t>
      </w:r>
    </w:p>
    <w:p>
      <w:pPr>
        <w:spacing w:after="0" w:line="184" w:lineRule="exact"/>
        <w:rPr>
          <w:sz w:val="20"/>
          <w:szCs w:val="20"/>
          <w:color w:val="auto"/>
        </w:rPr>
      </w:pPr>
    </w:p>
    <w:p>
      <w:pPr>
        <w:ind w:right="120" w:firstLine="506"/>
        <w:spacing w:after="0" w:line="220" w:lineRule="exact"/>
        <w:rPr>
          <w:sz w:val="20"/>
          <w:szCs w:val="20"/>
          <w:color w:val="auto"/>
        </w:rPr>
      </w:pPr>
      <w:r>
        <w:rPr>
          <w:rFonts w:ascii="Arial" w:cs="Arial" w:eastAsia="Arial" w:hAnsi="Arial"/>
          <w:sz w:val="18"/>
          <w:szCs w:val="18"/>
          <w:color w:val="auto"/>
        </w:rPr>
        <w:t>RGX</w:t>
      </w:r>
      <w:r>
        <w:rPr>
          <w:rFonts w:ascii="MS PGothic" w:cs="MS PGothic" w:eastAsia="MS PGothic" w:hAnsi="MS PGothic"/>
          <w:sz w:val="18"/>
          <w:szCs w:val="18"/>
          <w:color w:val="auto"/>
        </w:rPr>
        <w:t>‑</w:t>
      </w:r>
      <w:r>
        <w:rPr>
          <w:rFonts w:ascii="Arial" w:cs="Arial" w:eastAsia="Arial" w:hAnsi="Arial"/>
          <w:sz w:val="18"/>
          <w:szCs w:val="18"/>
          <w:color w:val="auto"/>
        </w:rPr>
        <w:t xml:space="preserve">121 is designed to use the NAV AAV9 vector to deliver the human </w:t>
      </w:r>
      <w:r>
        <w:rPr>
          <w:rFonts w:ascii="Arial" w:cs="Arial" w:eastAsia="Arial" w:hAnsi="Arial"/>
          <w:sz w:val="18"/>
          <w:szCs w:val="18"/>
          <w:i w:val="1"/>
          <w:iCs w:val="1"/>
          <w:color w:val="auto"/>
        </w:rPr>
        <w:t>IDS</w:t>
      </w:r>
      <w:r>
        <w:rPr>
          <w:rFonts w:ascii="Arial" w:cs="Arial" w:eastAsia="Arial" w:hAnsi="Arial"/>
          <w:sz w:val="18"/>
          <w:szCs w:val="18"/>
          <w:color w:val="auto"/>
        </w:rPr>
        <w:t xml:space="preserve"> gene to cells in the CNS. Delivery of the gene therapy and expression of the enzyme that is deficient within cells in the CNS could provide a permanent source of secreted I2S on the CNS side of the blood-brain barrier, allowing for long-term cross-correction of cells throughout the CNS. We believe this strategy could provide rapid I2S delivery to the brain, potentially preventing the progression of cognitive deficits that otherwise occur in MPS II patients.</w:t>
      </w:r>
    </w:p>
    <w:p>
      <w:pPr>
        <w:spacing w:after="0" w:line="204" w:lineRule="exact"/>
        <w:rPr>
          <w:sz w:val="20"/>
          <w:szCs w:val="20"/>
          <w:color w:val="auto"/>
        </w:rPr>
      </w:pPr>
    </w:p>
    <w:p>
      <w:pPr>
        <w:ind w:right="200" w:firstLine="510"/>
        <w:spacing w:after="0" w:line="224" w:lineRule="exact"/>
        <w:rPr>
          <w:sz w:val="20"/>
          <w:szCs w:val="20"/>
          <w:color w:val="auto"/>
        </w:rPr>
      </w:pPr>
      <w:r>
        <w:rPr>
          <w:rFonts w:ascii="Arial" w:cs="Arial" w:eastAsia="Arial" w:hAnsi="Arial"/>
          <w:sz w:val="17"/>
          <w:szCs w:val="17"/>
          <w:color w:val="auto"/>
        </w:rPr>
        <w:t>We have received orphan drug product designation, rare pediatric disease designation and Fast Track designation from the FDA, as well as orphan designation and advanced therapy medicinal products (ATMP) classification from the European Medicines Agency (the EMA) for RGX</w:t>
      </w:r>
      <w:r>
        <w:rPr>
          <w:rFonts w:ascii="MS PGothic" w:cs="MS PGothic" w:eastAsia="MS PGothic" w:hAnsi="MS PGothic"/>
          <w:sz w:val="17"/>
          <w:szCs w:val="17"/>
          <w:color w:val="auto"/>
        </w:rPr>
        <w:t>‑</w:t>
      </w:r>
      <w:r>
        <w:rPr>
          <w:rFonts w:ascii="Arial" w:cs="Arial" w:eastAsia="Arial" w:hAnsi="Arial"/>
          <w:sz w:val="17"/>
          <w:szCs w:val="17"/>
          <w:color w:val="auto"/>
        </w:rPr>
        <w:t>121.</w:t>
      </w:r>
    </w:p>
    <w:p>
      <w:pPr>
        <w:spacing w:after="0" w:line="20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Clinical Development of 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121 for the Treatment of MPS II</w:t>
      </w:r>
    </w:p>
    <w:p>
      <w:pPr>
        <w:spacing w:after="0" w:line="225" w:lineRule="exact"/>
        <w:rPr>
          <w:sz w:val="20"/>
          <w:szCs w:val="20"/>
          <w:color w:val="auto"/>
        </w:rPr>
      </w:pPr>
    </w:p>
    <w:p>
      <w:pPr>
        <w:ind w:right="140" w:firstLine="510"/>
        <w:spacing w:after="0" w:line="220" w:lineRule="exact"/>
        <w:rPr>
          <w:sz w:val="20"/>
          <w:szCs w:val="20"/>
          <w:color w:val="auto"/>
        </w:rPr>
      </w:pPr>
      <w:r>
        <w:rPr>
          <w:rFonts w:ascii="Arial" w:cs="Arial" w:eastAsia="Arial" w:hAnsi="Arial"/>
          <w:sz w:val="17"/>
          <w:szCs w:val="17"/>
          <w:color w:val="auto"/>
        </w:rPr>
        <w:t>A Phase I/II clinical trial of RGX</w:t>
      </w:r>
      <w:r>
        <w:rPr>
          <w:rFonts w:ascii="MS PGothic" w:cs="MS PGothic" w:eastAsia="MS PGothic" w:hAnsi="MS PGothic"/>
          <w:sz w:val="17"/>
          <w:szCs w:val="17"/>
          <w:color w:val="auto"/>
        </w:rPr>
        <w:t>‑</w:t>
      </w:r>
      <w:r>
        <w:rPr>
          <w:rFonts w:ascii="Arial" w:cs="Arial" w:eastAsia="Arial" w:hAnsi="Arial"/>
          <w:sz w:val="17"/>
          <w:szCs w:val="17"/>
          <w:color w:val="auto"/>
        </w:rPr>
        <w:t>121 in patients with MPS II under the age of 5 years old to evaluate the safety and tolerability of RGX-121, as well as the effects of RGX-121 on biomarkers of I2S enzyme activity, neurocognitive development and other clinical measures, is ongoing. The primary endpoint is safety. The secondary and exploratory endpoints include the effect of RGX</w:t>
      </w:r>
      <w:r>
        <w:rPr>
          <w:rFonts w:ascii="MS PGothic" w:cs="MS PGothic" w:eastAsia="MS PGothic" w:hAnsi="MS PGothic"/>
          <w:sz w:val="17"/>
          <w:szCs w:val="17"/>
          <w:color w:val="auto"/>
        </w:rPr>
        <w:t>‑</w:t>
      </w:r>
      <w:r>
        <w:rPr>
          <w:rFonts w:ascii="Arial" w:cs="Arial" w:eastAsia="Arial" w:hAnsi="Arial"/>
          <w:sz w:val="17"/>
          <w:szCs w:val="17"/>
          <w:color w:val="auto"/>
        </w:rPr>
        <w:t>121 on biomarkers of I2S activity in the cerebrospinal fluid (CSF), serum and urine, and the effect of RGX</w:t>
      </w:r>
      <w:r>
        <w:rPr>
          <w:rFonts w:ascii="MS PGothic" w:cs="MS PGothic" w:eastAsia="MS PGothic" w:hAnsi="MS PGothic"/>
          <w:sz w:val="17"/>
          <w:szCs w:val="17"/>
          <w:color w:val="auto"/>
        </w:rPr>
        <w:t>‑</w:t>
      </w:r>
      <w:r>
        <w:rPr>
          <w:rFonts w:ascii="Arial" w:cs="Arial" w:eastAsia="Arial" w:hAnsi="Arial"/>
          <w:sz w:val="17"/>
          <w:szCs w:val="17"/>
          <w:color w:val="auto"/>
        </w:rPr>
        <w:t>121 on neurocognitive deficits, as well as other clinical outcome measures.</w:t>
      </w:r>
    </w:p>
    <w:p>
      <w:pPr>
        <w:spacing w:after="0" w:line="204"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February 2022, we announced additional positive interim data from the Phase I/II trial of RGX-121. As of December 20, 2021, RGX-121 continued to be well-tolerated with no drug-related SAEs across three dose levels with preliminary results indicating dose-dependent reductions in key CSF biomarkers with patients in Cohort 3 approaching normal levels of the D2S6 biomarker. Measures of neurodevelopmental function from patients in Cohorts 1 and 2 demonstrated continued developmental skill acquisition up to 2 years after RGX-121 administration. Evidence of systemic enzyme expression and biomarker activity continued to be observed. We plan to initiate a Cohort 3 expansion using commercial-scale cGMP material in the first quarter of 2022.</w:t>
      </w:r>
    </w:p>
    <w:p>
      <w:pPr>
        <w:spacing w:after="0" w:line="16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 second multicenter, open-label Phase I/II trial of RGX-121 for the treatment of pediatric patients with severe MPS II ages 5-18 years old is ongoing. The trial is designed to evaluate the safety of a single administration of RGX-121, the effects of RGX-121 on biomarkers of I2S enzyme activity, and changes in cognitive function, adaptive behavior, daily function and quality of life.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RGX</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111 for the Treatment of MPS I</w:t>
      </w:r>
    </w:p>
    <w:p>
      <w:pPr>
        <w:spacing w:after="0" w:line="22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 xml:space="preserve">RGX-111 is our investigational AAV Therapeutic for the treatment of MPS I, a rare disease caused by deficiency of IDUA, an enzyme required for the breakdown of polysaccharides in lysosomes. Similar to MPS II, many MPS I patients develop symptoms related to GAG accumulation in the CNS, which can include excessive accumulation of fluid in the brain, spinal cord compression and cognitive impairment. MPS I patients span a broad spectrum of disease severity and extent of CNS involvement. The severe form of MPS I is also referred to as Hurler syndrome. Hurler patients have two mutations in the </w:t>
      </w:r>
      <w:r>
        <w:rPr>
          <w:rFonts w:ascii="Arial" w:cs="Arial" w:eastAsia="Arial" w:hAnsi="Arial"/>
          <w:sz w:val="17"/>
          <w:szCs w:val="17"/>
          <w:i w:val="1"/>
          <w:iCs w:val="1"/>
          <w:color w:val="auto"/>
        </w:rPr>
        <w:t>IDUA</w:t>
      </w:r>
      <w:r>
        <w:rPr>
          <w:rFonts w:ascii="Arial" w:cs="Arial" w:eastAsia="Arial" w:hAnsi="Arial"/>
          <w:sz w:val="17"/>
          <w:szCs w:val="17"/>
          <w:color w:val="auto"/>
        </w:rPr>
        <w:t xml:space="preserve"> gene, resulting in no active enzyme. These patients typically present with symptoms before two years of age and universally exhibit severe cognitive decline after an initial period of normal development. MPS I is estimated to occur in approximately 1 in 100,000 births worldwide. Based on global population, this equates to more than 1,000 MPS I patients born each year worldwide.</w:t>
      </w:r>
    </w:p>
    <w:p>
      <w:pPr>
        <w:spacing w:after="0" w:line="17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current standard of care for patients with an attenuated form of MPS I is a recombinant form of human IDUA, given as a weekly ERT infusion. This has demonstrated improvement in hepatosplenomegaly, growth, mobility and respiratory function. However, as the enzyme cannot cross the blood-brain barrier, ERT does not treat the CNS manifestations of MPS I. Patients are also often treated with hematopoietic stem cell transplantation (HSCT) and, although this approach has demonstrated improvements in survival, growth, cardiac and respiratory function, mobility and intellect, it is also associated with clinically relevant morbidity and an estimated 10% to 20% mortality. Accordingly, the procedure is reserved for patients with severe disease before two years of age because the risk-benefit ratio is thought to be more favorable in younger patients who have not yet experienced advanced cognitive decline. Another critical limitation of HSCT is that cognitive decline continues for up to a year after transplant before stabilizing, leaving permanent cognitive deficits. Overall, we believe the limitations of HSCT and ERT leave a significant unmet need for a method to safely achieve long-term IDUA reconstitution in the CNS for MPS I patients experiencing neurological complications.</w:t>
      </w:r>
    </w:p>
    <w:p>
      <w:pPr>
        <w:spacing w:after="0" w:line="181" w:lineRule="exact"/>
        <w:rPr>
          <w:sz w:val="20"/>
          <w:szCs w:val="20"/>
          <w:color w:val="auto"/>
        </w:rPr>
      </w:pPr>
    </w:p>
    <w:p>
      <w:pPr>
        <w:ind w:right="340" w:firstLine="510"/>
        <w:spacing w:after="0" w:line="220" w:lineRule="exact"/>
        <w:rPr>
          <w:sz w:val="20"/>
          <w:szCs w:val="20"/>
          <w:color w:val="auto"/>
        </w:rPr>
      </w:pPr>
      <w:r>
        <w:rPr>
          <w:rFonts w:ascii="Arial" w:cs="Arial" w:eastAsia="Arial" w:hAnsi="Arial"/>
          <w:sz w:val="18"/>
          <w:szCs w:val="18"/>
          <w:color w:val="auto"/>
        </w:rPr>
        <w:t>RGX</w:t>
      </w:r>
      <w:r>
        <w:rPr>
          <w:rFonts w:ascii="MS PGothic" w:cs="MS PGothic" w:eastAsia="MS PGothic" w:hAnsi="MS PGothic"/>
          <w:sz w:val="18"/>
          <w:szCs w:val="18"/>
          <w:color w:val="auto"/>
        </w:rPr>
        <w:t>‑</w:t>
      </w:r>
      <w:r>
        <w:rPr>
          <w:rFonts w:ascii="Arial" w:cs="Arial" w:eastAsia="Arial" w:hAnsi="Arial"/>
          <w:sz w:val="18"/>
          <w:szCs w:val="18"/>
          <w:color w:val="auto"/>
        </w:rPr>
        <w:t xml:space="preserve">111 is designed to use the NAV AAV9 vector to deliver the human </w:t>
      </w:r>
      <w:r>
        <w:rPr>
          <w:rFonts w:ascii="Arial" w:cs="Arial" w:eastAsia="Arial" w:hAnsi="Arial"/>
          <w:sz w:val="18"/>
          <w:szCs w:val="18"/>
          <w:i w:val="1"/>
          <w:iCs w:val="1"/>
          <w:color w:val="auto"/>
        </w:rPr>
        <w:t>IDUA</w:t>
      </w:r>
      <w:r>
        <w:rPr>
          <w:rFonts w:ascii="Arial" w:cs="Arial" w:eastAsia="Arial" w:hAnsi="Arial"/>
          <w:sz w:val="18"/>
          <w:szCs w:val="18"/>
          <w:color w:val="auto"/>
        </w:rPr>
        <w:t xml:space="preserve"> gene to the CNS. Delivery of the enzyme that is deficient within cells in the CNS could provide a permanent source of secreted IDUA beyond the blood-brain barrier, allowing for long-term cross-correction of cells throughout the CNS. We believe this strategy could also provide rapid IDUA delivery to the brain, potentially preventing the progression of cognitive deficits that otherwise occurs in MPS I patients.</w:t>
      </w:r>
    </w:p>
    <w:p>
      <w:pPr>
        <w:spacing w:after="0" w:line="204" w:lineRule="exact"/>
        <w:rPr>
          <w:sz w:val="20"/>
          <w:szCs w:val="20"/>
          <w:color w:val="auto"/>
        </w:rPr>
      </w:pPr>
    </w:p>
    <w:p>
      <w:pPr>
        <w:ind w:right="260" w:firstLine="510"/>
        <w:spacing w:after="0" w:line="223" w:lineRule="exact"/>
        <w:rPr>
          <w:sz w:val="20"/>
          <w:szCs w:val="20"/>
          <w:color w:val="auto"/>
        </w:rPr>
      </w:pPr>
      <w:r>
        <w:rPr>
          <w:rFonts w:ascii="Arial" w:cs="Arial" w:eastAsia="Arial" w:hAnsi="Arial"/>
          <w:sz w:val="18"/>
          <w:szCs w:val="18"/>
          <w:color w:val="auto"/>
        </w:rPr>
        <w:t>We have received orphan drug product designation, rare pediatric disease designation and fast track designation from the FDA, as well as orphan designation and ATMP classification from the EMA for RGX</w:t>
      </w:r>
      <w:r>
        <w:rPr>
          <w:rFonts w:ascii="MS PGothic" w:cs="MS PGothic" w:eastAsia="MS PGothic" w:hAnsi="MS PGothic"/>
          <w:sz w:val="18"/>
          <w:szCs w:val="18"/>
          <w:color w:val="auto"/>
        </w:rPr>
        <w:t>‑</w:t>
      </w:r>
      <w:r>
        <w:rPr>
          <w:rFonts w:ascii="Arial" w:cs="Arial" w:eastAsia="Arial" w:hAnsi="Arial"/>
          <w:sz w:val="18"/>
          <w:szCs w:val="18"/>
          <w:color w:val="auto"/>
        </w:rPr>
        <w:t>111.</w:t>
      </w:r>
    </w:p>
    <w:p>
      <w:pPr>
        <w:spacing w:after="0" w:line="20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Clinical Development of RGX</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111 for the Treatment of MPS I</w:t>
      </w:r>
    </w:p>
    <w:p>
      <w:pPr>
        <w:spacing w:after="0" w:line="225" w:lineRule="exact"/>
        <w:rPr>
          <w:sz w:val="20"/>
          <w:szCs w:val="20"/>
          <w:color w:val="auto"/>
        </w:rPr>
      </w:pPr>
    </w:p>
    <w:p>
      <w:pPr>
        <w:ind w:right="60" w:firstLine="510"/>
        <w:spacing w:after="0" w:line="220" w:lineRule="exact"/>
        <w:rPr>
          <w:sz w:val="20"/>
          <w:szCs w:val="20"/>
          <w:color w:val="auto"/>
        </w:rPr>
      </w:pPr>
      <w:r>
        <w:rPr>
          <w:rFonts w:ascii="Arial" w:cs="Arial" w:eastAsia="Arial" w:hAnsi="Arial"/>
          <w:sz w:val="18"/>
          <w:szCs w:val="18"/>
          <w:color w:val="auto"/>
        </w:rPr>
        <w:t>We are currently enrolling patients in a Phase I/II clinical trial of RGX</w:t>
      </w:r>
      <w:r>
        <w:rPr>
          <w:rFonts w:ascii="MS PGothic" w:cs="MS PGothic" w:eastAsia="MS PGothic" w:hAnsi="MS PGothic"/>
          <w:sz w:val="18"/>
          <w:szCs w:val="18"/>
          <w:color w:val="auto"/>
        </w:rPr>
        <w:t>‑</w:t>
      </w:r>
      <w:r>
        <w:rPr>
          <w:rFonts w:ascii="Arial" w:cs="Arial" w:eastAsia="Arial" w:hAnsi="Arial"/>
          <w:sz w:val="18"/>
          <w:szCs w:val="18"/>
          <w:color w:val="auto"/>
        </w:rPr>
        <w:t>111. The trial is a multi-center, open-label, dose escalation trial that is evaluating the safety, tolerability and pharmacodynamics of RGX-111 delivered to patients with MPS I. The primary endpoint of this trial is safety, and the secondary endpoints include the effect of RGX</w:t>
      </w:r>
      <w:r>
        <w:rPr>
          <w:rFonts w:ascii="MS PGothic" w:cs="MS PGothic" w:eastAsia="MS PGothic" w:hAnsi="MS PGothic"/>
          <w:sz w:val="18"/>
          <w:szCs w:val="18"/>
          <w:color w:val="auto"/>
        </w:rPr>
        <w:t>‑</w:t>
      </w:r>
      <w:r>
        <w:rPr>
          <w:rFonts w:ascii="Arial" w:cs="Arial" w:eastAsia="Arial" w:hAnsi="Arial"/>
          <w:sz w:val="18"/>
          <w:szCs w:val="18"/>
          <w:color w:val="auto"/>
        </w:rPr>
        <w:t>111 on biomarkers of IDUA activity in the CSF, serum and urine, neurocognitive development and other outcome measures.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RGX-111 was administered to a patient with MPS I through a single-patient IND.</w:t>
      </w:r>
    </w:p>
    <w:p>
      <w:pPr>
        <w:spacing w:after="0" w:line="22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In February 2022, we announced positive initial data from the Phase I/II trial, as well as positive interim data from the single patient IND of RGX-111</w:t>
      </w:r>
      <w:r>
        <w:rPr>
          <w:rFonts w:ascii="Arial" w:cs="Arial" w:eastAsia="Arial" w:hAnsi="Arial"/>
          <w:sz w:val="16"/>
          <w:szCs w:val="16"/>
          <w:i w:val="1"/>
          <w:iCs w:val="1"/>
          <w:color w:val="auto"/>
        </w:rPr>
        <w:t>.</w:t>
      </w:r>
      <w:r>
        <w:rPr>
          <w:rFonts w:ascii="Arial" w:cs="Arial" w:eastAsia="Arial" w:hAnsi="Arial"/>
          <w:sz w:val="16"/>
          <w:szCs w:val="16"/>
          <w:color w:val="auto"/>
        </w:rPr>
        <w:t xml:space="preserve"> As of December 20, 2021, RGX-111 was well tolerated across two dose levels in the Phase I/II trial and in the single-patient IND, with no drug-related SAEs. Biomarker and neurodevelopmental assessments indicated an encouraging CNS profile in patients dosed with RGX-111, with emerging evidence of systemic biomarker activity observed. We plan to enroll additional patients in a Cohort 2 expansion of the Phase I/II trial in the first half of 2022.</w:t>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RGX</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181 and RGX-381 for the Treatment of CLN2 Disease</w:t>
      </w:r>
    </w:p>
    <w:p>
      <w:pPr>
        <w:spacing w:after="0" w:line="225" w:lineRule="exact"/>
        <w:rPr>
          <w:sz w:val="20"/>
          <w:szCs w:val="20"/>
          <w:color w:val="auto"/>
        </w:rPr>
      </w:pPr>
    </w:p>
    <w:p>
      <w:pPr>
        <w:ind w:right="260" w:firstLine="510"/>
        <w:spacing w:after="0" w:line="273" w:lineRule="auto"/>
        <w:rPr>
          <w:sz w:val="20"/>
          <w:szCs w:val="20"/>
          <w:color w:val="auto"/>
        </w:rPr>
      </w:pPr>
      <w:r>
        <w:rPr>
          <w:rFonts w:ascii="Arial" w:cs="Arial" w:eastAsia="Arial" w:hAnsi="Arial"/>
          <w:sz w:val="17"/>
          <w:szCs w:val="17"/>
          <w:color w:val="auto"/>
        </w:rPr>
        <w:t xml:space="preserve">CLN2 disease, a form of Batten disease, is a rare disease caused by mutations in the </w:t>
      </w:r>
      <w:r>
        <w:rPr>
          <w:rFonts w:ascii="Arial" w:cs="Arial" w:eastAsia="Arial" w:hAnsi="Arial"/>
          <w:sz w:val="17"/>
          <w:szCs w:val="17"/>
          <w:i w:val="1"/>
          <w:iCs w:val="1"/>
          <w:color w:val="auto"/>
        </w:rPr>
        <w:t>tripeptidyl peptidase 1</w:t>
      </w:r>
      <w:r>
        <w:rPr>
          <w:rFonts w:ascii="Arial" w:cs="Arial" w:eastAsia="Arial" w:hAnsi="Arial"/>
          <w:sz w:val="17"/>
          <w:szCs w:val="17"/>
          <w:color w:val="auto"/>
        </w:rPr>
        <w:t xml:space="preserve"> (</w:t>
      </w:r>
      <w:r>
        <w:rPr>
          <w:rFonts w:ascii="Arial" w:cs="Arial" w:eastAsia="Arial" w:hAnsi="Arial"/>
          <w:sz w:val="17"/>
          <w:szCs w:val="17"/>
          <w:i w:val="1"/>
          <w:iCs w:val="1"/>
          <w:color w:val="auto"/>
        </w:rPr>
        <w:t>TPP1</w:t>
      </w:r>
      <w:r>
        <w:rPr>
          <w:rFonts w:ascii="Arial" w:cs="Arial" w:eastAsia="Arial" w:hAnsi="Arial"/>
          <w:sz w:val="17"/>
          <w:szCs w:val="17"/>
          <w:color w:val="auto"/>
        </w:rPr>
        <w:t xml:space="preserve">) gene. Mutations in the </w:t>
      </w:r>
      <w:r>
        <w:rPr>
          <w:rFonts w:ascii="Arial" w:cs="Arial" w:eastAsia="Arial" w:hAnsi="Arial"/>
          <w:sz w:val="17"/>
          <w:szCs w:val="17"/>
          <w:i w:val="1"/>
          <w:iCs w:val="1"/>
          <w:color w:val="auto"/>
        </w:rPr>
        <w:t>TPP1</w:t>
      </w:r>
      <w:r>
        <w:rPr>
          <w:rFonts w:ascii="Arial" w:cs="Arial" w:eastAsia="Arial" w:hAnsi="Arial"/>
          <w:sz w:val="17"/>
          <w:szCs w:val="17"/>
          <w:color w:val="auto"/>
        </w:rPr>
        <w:t xml:space="preserve"> gene and subsequent deficiency in TPP1 enzyme activity result in lysosomal accumulation of storage material and degeneration of tissues, including the brain and retina. CLN2 disease is characterized by seizures, rapid deterioration of language and motor functions, cognitive decline, loss of vision and blindness, and premature death by mid-childhood. Onset of symptoms is generally between two to four years of age, with initial features of recurrent seizures (epilepsy), language delay and difficulty coordinating movements (ataxia). CLN2 disease is estimated to occur in approximately 1 in 250,000 births worldwide. Based on global population, this equates to as many as 500 patients born each year worldwide.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There is currently no cure for CLN2 disease. Current treatment options include palliative care or ERT. While ERT has been an improvement over palliative care in slowing disease progression, it does not address the ocular manifestations of CLN2 and we believe frequent administration of ERT into the CNS, reliance on limited and specialized infusion centers, the need for and complications associated with a permanently implanted device, and lack of a treatment for the underlying genetic cause of CLN2 disease represent an area of significant unmet medical need.</w:t>
      </w:r>
    </w:p>
    <w:p>
      <w:pPr>
        <w:spacing w:after="0" w:line="171" w:lineRule="exact"/>
        <w:rPr>
          <w:sz w:val="20"/>
          <w:szCs w:val="20"/>
          <w:color w:val="auto"/>
        </w:rPr>
      </w:pPr>
    </w:p>
    <w:p>
      <w:pPr>
        <w:ind w:right="180" w:firstLine="510"/>
        <w:spacing w:after="0" w:line="220" w:lineRule="exact"/>
        <w:rPr>
          <w:sz w:val="20"/>
          <w:szCs w:val="20"/>
          <w:color w:val="auto"/>
        </w:rPr>
      </w:pPr>
      <w:r>
        <w:rPr>
          <w:rFonts w:ascii="Arial" w:cs="Arial" w:eastAsia="Arial" w:hAnsi="Arial"/>
          <w:sz w:val="18"/>
          <w:szCs w:val="18"/>
          <w:color w:val="auto"/>
        </w:rPr>
        <w:t>RGX</w:t>
      </w:r>
      <w:r>
        <w:rPr>
          <w:rFonts w:ascii="MS PGothic" w:cs="MS PGothic" w:eastAsia="MS PGothic" w:hAnsi="MS PGothic"/>
          <w:sz w:val="18"/>
          <w:szCs w:val="18"/>
          <w:color w:val="auto"/>
        </w:rPr>
        <w:t>‑</w:t>
      </w:r>
      <w:r>
        <w:rPr>
          <w:rFonts w:ascii="Arial" w:cs="Arial" w:eastAsia="Arial" w:hAnsi="Arial"/>
          <w:sz w:val="18"/>
          <w:szCs w:val="18"/>
          <w:color w:val="auto"/>
        </w:rPr>
        <w:t xml:space="preserve">181 is our investigational AAV Therapeutic for the treatment of CLN2 disease. It is designed to use the NAV AAV9 vector to deliver the human </w:t>
      </w:r>
      <w:r>
        <w:rPr>
          <w:rFonts w:ascii="Arial" w:cs="Arial" w:eastAsia="Arial" w:hAnsi="Arial"/>
          <w:sz w:val="18"/>
          <w:szCs w:val="18"/>
          <w:i w:val="1"/>
          <w:iCs w:val="1"/>
          <w:color w:val="auto"/>
        </w:rPr>
        <w:t>TPP1</w:t>
      </w:r>
      <w:r>
        <w:rPr>
          <w:rFonts w:ascii="Arial" w:cs="Arial" w:eastAsia="Arial" w:hAnsi="Arial"/>
          <w:sz w:val="18"/>
          <w:szCs w:val="18"/>
          <w:color w:val="auto"/>
        </w:rPr>
        <w:t xml:space="preserve"> gene to the CNS. Delivery of the gene that is deficient within cells in the CNS could provide a permanent source of secreted TPP1 enzyme, allowing for long-term cross-correction of cells throughout the CNS. We continue to evaluate RGX-181 in preclinical studies and are working with regulatory agencies on the advancement of our clinical program.</w:t>
      </w:r>
    </w:p>
    <w:p>
      <w:pPr>
        <w:spacing w:after="0" w:line="204"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 xml:space="preserve">RGX-381 is our investigational AAV Therapeutic targeting the ocular manifestations of CLN2 disease. RGX-381 is designed to use the NAV AAV9 vector to deliver the </w:t>
      </w:r>
      <w:r>
        <w:rPr>
          <w:rFonts w:ascii="Arial" w:cs="Arial" w:eastAsia="Arial" w:hAnsi="Arial"/>
          <w:sz w:val="16"/>
          <w:szCs w:val="16"/>
          <w:i w:val="1"/>
          <w:iCs w:val="1"/>
          <w:color w:val="auto"/>
        </w:rPr>
        <w:t>TPP1</w:t>
      </w:r>
      <w:r>
        <w:rPr>
          <w:rFonts w:ascii="Arial" w:cs="Arial" w:eastAsia="Arial" w:hAnsi="Arial"/>
          <w:sz w:val="16"/>
          <w:szCs w:val="16"/>
          <w:color w:val="auto"/>
        </w:rPr>
        <w:t xml:space="preserve"> gene directly to the retina. We believe that one-time administration of RGX-381 could provide a durable source of TPP1 activity in the retina, thereby potentially preventing visual decline. There is currently no available treatment for the ocular manifestations of CLN2 disease. We continue to evaluate RGX-381 in preclinical studies and are working with regulatory agencies on the advancement of our clinical program.</w:t>
      </w:r>
    </w:p>
    <w:p>
      <w:pPr>
        <w:spacing w:after="0" w:line="157" w:lineRule="exact"/>
        <w:rPr>
          <w:sz w:val="20"/>
          <w:szCs w:val="20"/>
          <w:color w:val="auto"/>
        </w:rPr>
      </w:pPr>
    </w:p>
    <w:p>
      <w:pPr>
        <w:ind w:right="260" w:firstLine="510"/>
        <w:spacing w:after="0" w:line="223" w:lineRule="exact"/>
        <w:rPr>
          <w:sz w:val="20"/>
          <w:szCs w:val="20"/>
          <w:color w:val="auto"/>
        </w:rPr>
      </w:pPr>
      <w:r>
        <w:rPr>
          <w:rFonts w:ascii="Arial" w:cs="Arial" w:eastAsia="Arial" w:hAnsi="Arial"/>
          <w:sz w:val="18"/>
          <w:szCs w:val="18"/>
          <w:color w:val="auto"/>
        </w:rPr>
        <w:t>We have received orphan drug product designation and rare pediatric disease designation from the FDA, as well as ATMP classification from the EMA for RGX</w:t>
      </w:r>
      <w:r>
        <w:rPr>
          <w:rFonts w:ascii="MS PGothic" w:cs="MS PGothic" w:eastAsia="MS PGothic" w:hAnsi="MS PGothic"/>
          <w:sz w:val="18"/>
          <w:szCs w:val="18"/>
          <w:color w:val="auto"/>
        </w:rPr>
        <w:t>‑</w:t>
      </w:r>
      <w:r>
        <w:rPr>
          <w:rFonts w:ascii="Arial" w:cs="Arial" w:eastAsia="Arial" w:hAnsi="Arial"/>
          <w:sz w:val="18"/>
          <w:szCs w:val="18"/>
          <w:color w:val="auto"/>
        </w:rPr>
        <w:t>181 and RGX-381.</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Licensing and Company 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Collaborations, licensing and company formation are a key part of our commitment to enable the ongoing development of gene therapy treatments.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Eye Care Collaboration</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In September 2021, REGENXBIO and AbbVie announced a global strategic partnership to develop and commercialize RGX-314, a potential one-time gene therapy for the treatment of wet AMD, DR and other chronic retinal diseases.</w:t>
      </w:r>
    </w:p>
    <w:p>
      <w:pPr>
        <w:spacing w:after="0" w:line="170"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Under the terms of our Collaboration and License Agreement with AbbVie (the AbbVie Collaboration and License Agreement), we received an upfront payment of $370 million. Additionally, we will be eligible to receive up to $1.38 billion in additional development, regulatory and commercial milestone payments.</w:t>
      </w:r>
    </w:p>
    <w:p>
      <w:pPr>
        <w:spacing w:after="0" w:line="18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Through December 31, 2022, we will be responsible for development expenses for certain ongoing trials of RGX-314 and will share additional development expenses related to RGX-314 with AbbVie. Beginning on January 1, 2023, AbbVie will be responsible for the majority of all development expenses.</w:t>
      </w:r>
    </w:p>
    <w:p>
      <w:pPr>
        <w:spacing w:after="0" w:line="184"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In the United States, we will participate in commercialization of licensed products to the extent set forth in a commercialization plan to be determined in accordance with the AbbVie Collaboration and License Agreement, and the parties will equally share net profits and net losses associated with commercialization of the licensed products in the United States. Outside the United States, AbbVie will be responsible, at its sole cost, for the commercialization of licensed products. We will also be eligible to receive tiered royalties on net sales by AbbVie of licensed products outside the United States at percentages in the mid-teens to low twenties, subject to specified offsets and reductions.</w:t>
      </w:r>
    </w:p>
    <w:p>
      <w:pPr>
        <w:spacing w:after="0" w:line="176"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We will lead the manufacturing of RGX-314 for clinical development and U.S. commercial supply, and AbbVie will lead manufacturing of RGX-314 for commercial supply outside the United States. Manufacturing expenses will be allocated between the parties in accordance with the terms of the AbbVie Collaboration and License Agreement and mutually agreed supply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 Technology Licensees</w:t>
      </w:r>
    </w:p>
    <w:p>
      <w:pPr>
        <w:spacing w:after="0" w:line="225"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In addition to our internal product development efforts, we sublicense our NAV Vectors to other leading biotechnology and pharmaceutical companies. As of December 31, 2021, our NAV Technology Licensees are currently applying our NAV Technology Platform to a number of AAV Therapeutics over a broad range of therapeutic areas and disease indications. Over 60 clinical trials utilizing NAV Vectors have been registered in the National Institutes of Health (NIH) clinical trials database since 2015, and one of two FDA-approved AAV Therapeutics in the United States uses a NAV Vector (Novartis’ Zolgensma). As of December 31, 2021, over 2,000 patients have been treated by REGENXBIO and our NAV Technology Licensees using NAV Vectors across the clinical trial, managed access and commercial settings. In 2021, Zolgensma exceeded $1.3 billion in annual sales.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NAV Technology Licensees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151765</wp:posOffset>
            </wp:positionV>
            <wp:extent cx="5151755" cy="1208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5175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have also taken an active role in the formation of several of our NAV Technology Licensees, including being a founding shareholder in Dimension Therapeutics, Inc. (Dimension), Prevail Therapeutics Inc. (Prevail) and Corlieve Therapeutics SAS (Corlieve), all of which have been acquired in strategic transactions since their formation. We entered into a license agreement with each of these NAV Technology Licensees upon their formation, for which we received equity in the NAV Technology Licensee in addition to other consideration. In November 2017, Ultragenyx Pharmaceutical Inc. acquired Dimension for approximately $152 million in cash. In January 2021, Eli Lilly and Company acquired Prevail for up to approximately $1.04 billion. In July 2021, uniQure N.V. (uniQure) acquired Corlieve for up to approximately €250 million in cash and uniQure shares.</w:t>
      </w:r>
    </w:p>
    <w:p>
      <w:pPr>
        <w:spacing w:after="0" w:line="178"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NAV Technology licenses have been an important component of our strategy since REGENXBIO’s formation, creating opportunity for the development of additional therapies for patients and potential for additional value generation from the platform</w:t>
      </w:r>
      <w:r>
        <w:rPr>
          <w:rFonts w:ascii="Arial" w:cs="Arial" w:eastAsia="Arial" w:hAnsi="Arial"/>
          <w:sz w:val="17"/>
          <w:szCs w:val="17"/>
          <w:i w:val="1"/>
          <w:iCs w:val="1"/>
          <w:color w:val="auto"/>
        </w:rPr>
        <w:t>.</w:t>
      </w:r>
      <w:r>
        <w:rPr>
          <w:rFonts w:ascii="Arial" w:cs="Arial" w:eastAsia="Arial" w:hAnsi="Arial"/>
          <w:sz w:val="17"/>
          <w:szCs w:val="17"/>
          <w:color w:val="auto"/>
        </w:rPr>
        <w:t xml:space="preserve"> Equity ownership in certain NAV Technology Licensees has generated significant additional return for REGENXBIO shareholders, and we believe the acquisition of these NAV Technology Licensees in strategic transactions by biopharmaceutical companies is an important validation of the NAV Technology Platform.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Zolgensma License</w:t>
      </w:r>
    </w:p>
    <w:p>
      <w:pPr>
        <w:spacing w:after="0" w:line="22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March 2014, we entered into an agreement with AveXis, Inc. (AveXis, now Novartis Gene Therapies) for an exclusive, worldwide commercial license, with rights to sublicense, to the NAV AAV9 vector for the treatment of spinal muscular atrophy (SMA). In 2018, we amended the license to include additional intellectual property owned or in-licensed by us, including rights to the NAV Technology Platform beyond NAV AAV9, as well as additional AAV vectors we may discover or license for a certain period of time, for the treatment of SMA. Under the license agreement, as amended, we were entitled to receive over $270 million in fees, development and commercial milestones. In addition, we are entitled to receive mid-single to low double-digit royalties on net sales for Zolgensma or any product developed for the treatment of SMA using the NAV AAV9 vector. For any product developed for the treatment of SMA using a licensed vector other than NAV AAV9, we are entitled to receive a low double-digit royalty on net sales.</w:t>
      </w:r>
    </w:p>
    <w:p>
      <w:pPr>
        <w:spacing w:after="0" w:line="166"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Novartis acquired AveXis for $8.7 billion in April 2018, and Zolgensma was subsequently approved by the FDA in May 2019. In December 2020, we sold a portion of our royalty rights from the net sales of Zolgensma to entities managed by Healthcare Royalty Management, LLC (HCR) for a gross purchase price of $200 million. As of December 31, 2021, Zolgensma is approved in 42 countries and over 1,800 patients have been treated.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License Agreements and Other 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Licenses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exclusively licensed many of our rights in our NAV Technology Platform from the University of Pennsylvania (Penn) and GlaxoSmithKline LLC (GSK), which together we refer to as our Platform Licenses. We currently use our NAV Technology Platform to develop treatments in the areas of retinal, neuromuscular and neurodegenerative diseases. We also sublicense our NAV Technology Platform to third parties in order to develop and bring to market AAV Therapeutics for a range of severe diseases with significant unmet medical needs outside of our core disease indications and therapeutic areas. For further information regarding our commercial sublicenses, please see “Commercial Licenses to NAV Technology Licensees” located elsewhere in this Annual Report on Form 10-K.</w:t>
      </w:r>
    </w:p>
    <w:p>
      <w:pPr>
        <w:spacing w:after="0" w:line="19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i w:val="1"/>
          <w:iCs w:val="1"/>
          <w:color w:val="auto"/>
        </w:rPr>
        <w:t xml:space="preserve">The Trustees of the University of Pennsylvania. </w:t>
      </w:r>
      <w:r>
        <w:rPr>
          <w:rFonts w:ascii="Arial" w:cs="Arial" w:eastAsia="Arial" w:hAnsi="Arial"/>
          <w:sz w:val="18"/>
          <w:szCs w:val="18"/>
          <w:color w:val="auto"/>
        </w:rPr>
        <w:t>In February 2009, we entered into an exclusive, worldwide license agreement with Penn for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intellectual property rights relating to a gene therapy technology platform based on AAVs discovered at Penn in the laboratory of James M. Wilson, M.D., Ph.D. This license was amended in September 2014, April 2016, April 2019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September 2020. In February 2009, we also entered into a sponsored research agreement with Penn (the 2009 SRA) under which we funded the nonclinical research of Dr. Wilson relating to AAV gene therapy and obtained an option to acquire an exclusive worldwide license in certain intellectual property created pursuant to such 2009 SRA. We entered into an additional sponsored research agreement (the 2013 SRA) with Penn in November 2013 which was funded entirely by our NAV Technology Licensee, Dimension Therapeutics, Inc. (since acquired by Ultragenyx Pharmaceutical Inc.) (Dimension). In December 2014, we entered into another SRA with Penn funding related nonclinical research of Dr. Wilson (the 2014 SRA).</w:t>
      </w:r>
    </w:p>
    <w:p>
      <w:pPr>
        <w:spacing w:after="0" w:line="16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Our license agreement with Penn, as amended, provides us with an exclusive, worldwide license under certain patents and patent applications in order to make, have made, use, import, offer for sale and sell products covered by the claims of the licensed patents and patent applications as well as all patentable inventions (to the extent they are or become available for license) that:</w:t>
      </w:r>
    </w:p>
    <w:p>
      <w:pPr>
        <w:spacing w:after="0" w:line="76"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were discovered by Dr. Wilson or other Penn researchers working under his direct supervision at Penn; and</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related to the AAV technology platform discovered by Dr. Wilson at Penn prior to February 2009, pursuant to a sponsored research agreement or subsequent amendment to a sponsored research agreement; or</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necessary or useful for the practice of Penn’s patent rights in the treatment of CLN2 disease, a form of Batten disease, and conceived and reduced to practice since October 2015;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owned and controlled by Penn.</w:t>
      </w:r>
    </w:p>
    <w:p>
      <w:pPr>
        <w:spacing w:after="0" w:line="22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Prior to entering into the license agreement with us, Penn had previously entered into two license agreements with third parties with respect to certain of the licensed patents and patent applications. Our license from Penn is subject to those preexisting license grants. With respect to the first third party license granted by Penn, our license is non-exclusive with respect to the patents and patent applications licensed to the third party for so long as that preexisting license grant remains in effect and will become exclusive upon the expiration or termination of that existing license agreement. The pre-existing licenses also include a license agreement Penn entered into with GSK in May 2002 granting a license to certain patents and patent applications, of which we subsequently sublicensed certain rights to from GSK in March 2009. For further information regarding our GSK sublicense, please see “Platform License Agreements and Other Licenses—Platform Licenses—GlaxoSmithKline LLC” located elsewhere in this Annual Report on Form 10-K. Our license agreement with Penn provides that should the rights Penn licensed to GSK ever revert to Penn, such rights shall automatically be included in our license agreement with Penn.</w:t>
      </w:r>
    </w:p>
    <w:p>
      <w:pPr>
        <w:spacing w:after="0" w:line="196"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The Penn license agreement, as amended, also provides us with certain additional rights, including a non-exclusive, worldwide license to use (i) all data and information that was developed since October 2015 by Dr. Wilson, or other Penn researchers working under his direct supervision at Penn, that is related to Batten disease, owned by Penn, and necessary or useful for the practice of the licensed patent rights in the treatment of CLN2 disease; and (ii) all know-how that:</w:t>
      </w:r>
    </w:p>
    <w:p>
      <w:pPr>
        <w:spacing w:after="0" w:line="79"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 developed by Dr. Wilson, or other Penn researchers working under his direct supervision at Penn;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related to the AAV technology platform discovered by Dr. Wilson prior to September 2014; or</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related to the AAV technology platform discovered by Dr. Wilson at Penn after September 2014 during the performance of a research program we sponsored;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owned by Penn;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necessary or useful for the practice of the licensed patent rights.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terms of the Penn license agreement, we issued equity to Penn and are also obligated to pay Penn:</w:t>
      </w:r>
    </w:p>
    <w:p>
      <w:pPr>
        <w:spacing w:after="0" w:line="117"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 to $20.5 million upon the achievement of various development and sales-based milestones;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to mid-single digit royalties on net sales of licensed pharmaceutical products sold by us or our affiliates;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low-single digit to low-double digit royalty percentages of net sales on licensed products intended for research purposes only;</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to mid-double digit royalty percentage on royalties received from third parties on net sales of licensed pharmaceutical products by such third parties;</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low-double digit to mid-teen digit percentages of sublicense fees we receive for the licensed intellectual property rights from sublicensees;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reimbursements for ongoing patent prosecution and maintenance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Penn license agreement, as amended, will terminate with respect to licensed products in a field of use other than the treatment of familial hypercholesterolemia (FH) on a product-by-product and country-by-country basis on the date each particular licensed product ceases to be covered by at least one valid claim, issued or pending, under the licensed patent rights. We can terminate this license agreement by giving Penn prior written notice. Penn has the right to terminate:</w:t>
      </w:r>
    </w:p>
    <w:p>
      <w:pPr>
        <w:spacing w:after="0" w:line="79"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notice if we are late in paying money due under the license agreement;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 notice if we fail to achieve a diligence event on or before the applicable completion date or otherwise breach the license agreement;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or our affiliates experience insolvency;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commence any action against Penn to declare or render any claim of the licensed patent rights invalid or unenforceable.</w:t>
      </w:r>
    </w:p>
    <w:p>
      <w:pPr>
        <w:spacing w:after="0" w:line="22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Under the 2014 SRA, as amended, we funded research at Penn, paid certain intellectual property legal and filing expenses and received the rights to certain research results. The Penn license agreement, as amended, and the 2014 SRA, as amended, provide that all patentable inventions conceived, created, or conceived and reduced to practice pursuant to the 2014 SRA, together with patent rights represented by or issuing from the U.S. patents and patent applications, including provisional patent applications, automatically become exclusively licensed to us and all research results become automatically licensed to us as know-how. Under the 2009 SRA, as amended, in consideration for our funding of research at Penn, we received an option to acquire a worldwide license on commercially reasonable terms to practice all patentable inventions conceived, created, or reduced to practice pursuant to the 2009 SRA, together with patent rights represented by or issuing from the U.S. patents and patent applications, including provisional patent applications.</w:t>
      </w:r>
    </w:p>
    <w:p>
      <w:pPr>
        <w:spacing w:after="0" w:line="16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i w:val="1"/>
          <w:iCs w:val="1"/>
          <w:color w:val="auto"/>
        </w:rPr>
        <w:t xml:space="preserve">GlaxoSmithKline LLC. </w:t>
      </w:r>
      <w:r>
        <w:rPr>
          <w:rFonts w:ascii="Arial" w:cs="Arial" w:eastAsia="Arial" w:hAnsi="Arial"/>
          <w:sz w:val="17"/>
          <w:szCs w:val="17"/>
          <w:color w:val="auto"/>
        </w:rPr>
        <w:t>In March 2009, we entered into a license agreement with GSK, which was amended in April 2009, in order to secure the</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 rights to patents and patent applications covering NAV Technology that GSK had previously licensed from Penn (subject to certain rights retained by GSK and Penn). Under this GSK license agreement, we receive an exclusive, worldwide sublicense under the licensed patent rights to make, have made, use, import, sell and offer for sale products covered by the licensed patent rights anywhere in the world. Our rights under this GSK license agreement are subject to certain rights retained by GSK for the benefit of itself and other third parties, including rights relating to: domain antibodies; RNA interference and antisense drugs; internal research purposes and GSK’s discovery research efforts with non-profit organizations and GSK collaborators; AAV8 for the treatment of hemophilia B; AAV9 for the treatment of Muscular Dystrophy, congestive heart failure suffered by Muscular Dystrophy patients and cardiovascular diseases by delivery of certain genes; and non-commercial research in the areas of Muscular Dystrophy, hemophilia B, congestive heart failure suffered by Muscular Dystrophy patients, and other cardiovascular disease. Under the terms of the license agreement, we issued equity to GSK and are obligated to pay GSK:</w:t>
      </w:r>
    </w:p>
    <w:p>
      <w:pPr>
        <w:spacing w:after="0" w:line="77"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$1.5 million in aggregate milestone payments, all of which have been paid;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 to mid-single digit royalty percentages on net sales of licensed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low- to mid-double digit percentages of any sublicense fees we receive from sublicensees for the licensed intellectual property rights;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reimbursements for certain patent prosecution and maintenance expenses.</w:t>
      </w:r>
    </w:p>
    <w:p>
      <w:pPr>
        <w:spacing w:after="0" w:line="225"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Under our GSK license agreement, we are required to use commercially reasonable efforts to develop and commercialize licensed products. Our GSK license agreement will terminate upon the expiration, lapse, abandonment or invalidation of the last licensed claim to expire, lapse, become abandoned or unenforceable in all the countries of the world where the licensed patent rights existed. However, if no patent ever issues from patent rights licensed from GSK, this license agreement will terminate a specified number of years after the first commercial sale of the first licensed product in any country. We may terminate this license agreement for any reason upon a specified number of days’ written notice. GSK can terminate this license agreement if:</w:t>
      </w:r>
    </w:p>
    <w:p>
      <w:pPr>
        <w:spacing w:after="0" w:line="84" w:lineRule="exact"/>
        <w:rPr>
          <w:sz w:val="20"/>
          <w:szCs w:val="20"/>
          <w:color w:val="auto"/>
        </w:rPr>
      </w:pPr>
    </w:p>
    <w:p>
      <w:pPr>
        <w:ind w:left="1000" w:right="3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late in paying GSK any money due under the agreement and do not pay in full within a specified number of days of GSK’s written demand;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materially breach the agreement and fail to cure within a specified number of days;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file for bankruptcy.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Licenses</w:t>
      </w:r>
    </w:p>
    <w:p>
      <w:pPr>
        <w:spacing w:after="0" w:line="11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i w:val="1"/>
          <w:iCs w:val="1"/>
          <w:color w:val="auto"/>
        </w:rPr>
        <w:t xml:space="preserve">Regents of the University of Minnesota. </w:t>
      </w:r>
      <w:r>
        <w:rPr>
          <w:rFonts w:ascii="Arial" w:cs="Arial" w:eastAsia="Arial" w:hAnsi="Arial"/>
          <w:sz w:val="18"/>
          <w:szCs w:val="18"/>
          <w:color w:val="auto"/>
        </w:rPr>
        <w:t>In November 2014, we entered into a license agreement with Regents of the University of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for the exclusive rights to Minnesota’s undivided interest in intellectual property jointly owned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Minnesota and us relating to the delivery of AAV vectors to the CNS. This license was amended in November 2016 and September 2021. Under this Minnesota license agreement, as amended, we receive an exclusive license under the licensed patent rights to make, have made, use, offer to sell or sell, offer to lease or lease, import or otherwise offer to dispose or dispose of products covered by the licensed patent rights in all fields of use in any country or territory in which a licensed patent has been issued and is unexpired or a licensed patent application is pending until November 2019, after which time the field of use would be limited to all fields of use using our NAV Vectors in addition to certain additional indications and areas. Under the terms of the agreement, we are obligated to pay Minnesota upfront fees, annual maintenance fees, royalties on net sales, if any, sublicense fees and fees upon the achievement of various milestones.</w:t>
      </w:r>
    </w:p>
    <w:p>
      <w:pPr>
        <w:spacing w:after="0" w:line="195"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i w:val="1"/>
          <w:iCs w:val="1"/>
          <w:color w:val="auto"/>
        </w:rPr>
        <w:t>Emory University</w:t>
      </w:r>
      <w:r>
        <w:rPr>
          <w:rFonts w:ascii="Arial" w:cs="Arial" w:eastAsia="Arial" w:hAnsi="Arial"/>
          <w:sz w:val="16"/>
          <w:szCs w:val="16"/>
          <w:color w:val="auto"/>
        </w:rPr>
        <w:t>. In August 2018, we entered into a license agreement with Emory University (Emory) for the exclusive rights to Emory’s</w:t>
      </w:r>
      <w:r>
        <w:rPr>
          <w:rFonts w:ascii="Arial" w:cs="Arial" w:eastAsia="Arial" w:hAnsi="Arial"/>
          <w:sz w:val="16"/>
          <w:szCs w:val="16"/>
          <w:i w:val="1"/>
          <w:iCs w:val="1"/>
          <w:color w:val="auto"/>
        </w:rPr>
        <w:t xml:space="preserve"> </w:t>
      </w:r>
      <w:r>
        <w:rPr>
          <w:rFonts w:ascii="Arial" w:cs="Arial" w:eastAsia="Arial" w:hAnsi="Arial"/>
          <w:sz w:val="16"/>
          <w:szCs w:val="16"/>
          <w:color w:val="auto"/>
        </w:rPr>
        <w:t>undivided interest in intellectual property jointly owned by Emory and us relating to the delivery of AAV vectors to the CNS. Under this Emory license agreement, we receive an exclusive license under the licensed patent rights to make, have made, use, import, offer to sell or sell licensed products in all fields of use in any country. Under the terms of the agreement, we are obligated to pay Emory an upfront fee, annual maintenance fees under certain circumstances, royalties on net sales, sublicense fees, and fees upon the achievement of various milestones for the first licensed product.</w:t>
      </w:r>
    </w:p>
    <w:p>
      <w:pPr>
        <w:spacing w:after="0" w:line="16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 xml:space="preserve">Clearside Biomedical, Inc. </w:t>
      </w:r>
      <w:r>
        <w:rPr>
          <w:rFonts w:ascii="Arial" w:cs="Arial" w:eastAsia="Arial" w:hAnsi="Arial"/>
          <w:sz w:val="18"/>
          <w:szCs w:val="18"/>
          <w:color w:val="auto"/>
        </w:rPr>
        <w:t>In August 2019, we entered into an option and license agreement with Clearside Biomedical, Inc. (Clearside)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receive an exclusive, worldwide commercial license, with rights to sublicense, to Clearside’s SCS Microinjector for the delivery of AAV gene therapies for the treatment of wet AMD, DR, and other conditions for which chronic anti-VEGF treatment is currently the standard of care. In October 2019, we exercised the option. Under the terms of the agreement, we are obligated to pay Clearside an upfront fee, royalties on net sales, and fees upon the achievement of various milestones. As between us and Clearside, we will be responsible for all development, regulatory and commercialization activities for our gene therapy product candidates. Clearside will be responsible for supplying the SCS Microinjector in support of our preclinical studies, clinical studies and commercial use.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Our patent portfolio includes patents and patent applications that we own, co-own and license from third parties and covers all aspects of our NAV Technology Platform, clinical candidates and programs, formulations, devices, manufacturing and research programs. We believe this patent portfolio enables us to support our development of AAV Therapeutics to address significant unmet medical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 Technology Platform</w:t>
      </w:r>
    </w:p>
    <w:p>
      <w:pPr>
        <w:spacing w:after="0" w:line="225"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As of December 31, 2021, our patent portfolio included 18 issued U.S. patents and six European patents relating to the AAV7, AAV8, AAV9 and AAVrh10 vectors and their uses. These patents have terms that will expire as late as 2026, not including patent term extensions.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Investigational AAV Therapeutics</w:t>
      </w:r>
    </w:p>
    <w:p>
      <w:pPr>
        <w:spacing w:after="0" w:line="225"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As of December 31, 2021, in addition to the patents related to our NAV Technology Platform described above, our patent portfolio included a total of five issued U.S. patents, two issued European patents, five pending International Patent applications filed pursuant to the Patent Cooperation Treaty (PCTs) and 22 PCTs that have entered national stage relating to our product candidates, which are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Retinal Diseases</w:t>
      </w:r>
    </w:p>
    <w:p>
      <w:pPr>
        <w:spacing w:after="0" w:line="22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addition to our NAV Technology Platform patents covering the NAV AAV8 vector and manufacture of NAV AAV8 vectors used in our retinal disease programs, our patent portfolio includes more recent filings relating to our clinical candidate vectors, clinical protocols, routes of administration to the eye (subretinal and suprachoroidal), formulations and target diseases treated by our gene therapy vectors.</w:t>
      </w:r>
    </w:p>
    <w:p>
      <w:pPr>
        <w:spacing w:after="0" w:line="288" w:lineRule="exact"/>
        <w:rPr>
          <w:sz w:val="20"/>
          <w:szCs w:val="20"/>
          <w:color w:val="auto"/>
        </w:rPr>
      </w:pPr>
    </w:p>
    <w:p>
      <w:pPr>
        <w:ind w:left="1000" w:right="120" w:hanging="493"/>
        <w:spacing w:after="0" w:line="26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RGX-314: </w:t>
      </w:r>
      <w:r>
        <w:rPr>
          <w:rFonts w:ascii="Arial" w:cs="Arial" w:eastAsia="Arial" w:hAnsi="Arial"/>
          <w:sz w:val="18"/>
          <w:szCs w:val="18"/>
          <w:color w:val="auto"/>
        </w:rPr>
        <w:t>Our patent portfolio supports our clinical development and our collaboration with AbbVie for the clinical development of RGX-314. Our patent portfolio covers the use of RGX-314 for the treatment of wet AMD through subretinal or suprachoroidal administration and for the treatment of DR through suprachoroidal administration; it also covers formulations and devices used for suprachoroidal administration.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20"/>
        <w:spacing w:after="0" w:line="263" w:lineRule="auto"/>
        <w:rPr>
          <w:sz w:val="20"/>
          <w:szCs w:val="20"/>
          <w:color w:val="auto"/>
        </w:rPr>
      </w:pPr>
      <w:r>
        <w:rPr>
          <w:rFonts w:ascii="Arial" w:cs="Arial" w:eastAsia="Arial" w:hAnsi="Arial"/>
          <w:sz w:val="18"/>
          <w:szCs w:val="18"/>
          <w:color w:val="auto"/>
        </w:rPr>
        <w:t>Our patent portfolio relating to RGX-314 includes one issued U.S. patent that will expire in 2037, two pending PCTs and five PCTs that have entered national stage for which any issued U.S. or European patent would expire in 2037, 2038, 2039 or 2040, in each case without taking into account any possible patent term adjustment or extension.</w:t>
      </w:r>
    </w:p>
    <w:p>
      <w:pPr>
        <w:spacing w:after="0" w:line="288" w:lineRule="exact"/>
        <w:rPr>
          <w:sz w:val="20"/>
          <w:szCs w:val="20"/>
          <w:color w:val="auto"/>
        </w:rPr>
      </w:pPr>
    </w:p>
    <w:p>
      <w:pPr>
        <w:ind w:left="1000" w:right="40" w:hanging="493"/>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RGX-381: </w:t>
      </w:r>
      <w:r>
        <w:rPr>
          <w:rFonts w:ascii="Arial" w:cs="Arial" w:eastAsia="Arial" w:hAnsi="Arial"/>
          <w:sz w:val="18"/>
          <w:szCs w:val="18"/>
          <w:color w:val="auto"/>
        </w:rPr>
        <w:t>Our patent portfolio covers the use of RGX-381 for the treatment of ocular manifestations of CLN2 disease through subretinal or</w:t>
      </w:r>
      <w:r>
        <w:rPr>
          <w:rFonts w:ascii="Arial" w:cs="Arial" w:eastAsia="Arial" w:hAnsi="Arial"/>
          <w:sz w:val="18"/>
          <w:szCs w:val="18"/>
          <w:b w:val="1"/>
          <w:bCs w:val="1"/>
          <w:color w:val="auto"/>
        </w:rPr>
        <w:t xml:space="preserve"> </w:t>
      </w:r>
      <w:r>
        <w:rPr>
          <w:rFonts w:ascii="Arial" w:cs="Arial" w:eastAsia="Arial" w:hAnsi="Arial"/>
          <w:sz w:val="18"/>
          <w:szCs w:val="18"/>
          <w:color w:val="auto"/>
        </w:rPr>
        <w:t>suprachoroidal administration. Our patent portfolio relating to RGX-381 includes three PCTs that have entered national stage for which any issued U.S. or European patent would expire in 2038, 2039 or 2040, in each case without taking into account any possible patent term adjustment or extension.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Neuromuscular Diseases</w:t>
      </w:r>
    </w:p>
    <w:p>
      <w:pPr>
        <w:spacing w:after="0" w:line="225"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addition to our NAV Technology Platform patents covering the NAV AAV8 vector and its manufacture, our patent portfolio includes more recent filings relating to RGX-202, the NAV AAV8 capsid carrying our microdystrophin construct used to treat Duchenne and the manufacture of RGX-202. Our patent portfolio also covers other AAV vectors carrying our microdystrophin transgene, as well as intravenous and other modes of administration, and formulations.</w:t>
      </w:r>
    </w:p>
    <w:p>
      <w:pPr>
        <w:spacing w:after="0" w:line="18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Our patent portfolio relating to RGX-202 includes one pending PCT for which any issued U.S. or European patent would expire in 2040, without taking into account any possible patent term adjustment or extension.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Neurodegenerative Diseases</w:t>
      </w:r>
    </w:p>
    <w:p>
      <w:pPr>
        <w:spacing w:after="0" w:line="225" w:lineRule="exact"/>
        <w:rPr>
          <w:sz w:val="20"/>
          <w:szCs w:val="20"/>
          <w:color w:val="auto"/>
        </w:rPr>
      </w:pPr>
    </w:p>
    <w:p>
      <w:pPr>
        <w:ind w:right="500" w:firstLine="510"/>
        <w:spacing w:after="0" w:line="279" w:lineRule="auto"/>
        <w:rPr>
          <w:sz w:val="20"/>
          <w:szCs w:val="20"/>
          <w:color w:val="auto"/>
        </w:rPr>
      </w:pPr>
      <w:r>
        <w:rPr>
          <w:rFonts w:ascii="Arial" w:cs="Arial" w:eastAsia="Arial" w:hAnsi="Arial"/>
          <w:sz w:val="17"/>
          <w:szCs w:val="17"/>
          <w:color w:val="auto"/>
        </w:rPr>
        <w:t>In addition to our NAV Technology Platform patents covering the NAV AAV9 vector and the manufacture of NAV AAV9 vectors used in our neurodegenerative disease programs, our patent portfolio includes more recently filed patents, that cover our clinical candidate vectors, routes of administration used in our neurodegenerative disease clinical-stage programs (intracisternal administration for intrathecal delivery, as well as lumbar puncture and intraventricular administration), formulations and target diseases, including MPS II, MPS I and CLN2 disease.</w:t>
      </w:r>
    </w:p>
    <w:p>
      <w:pPr>
        <w:spacing w:after="0" w:line="275" w:lineRule="exact"/>
        <w:rPr>
          <w:sz w:val="20"/>
          <w:szCs w:val="20"/>
          <w:color w:val="auto"/>
        </w:rPr>
      </w:pPr>
    </w:p>
    <w:p>
      <w:pPr>
        <w:ind w:left="1000" w:hanging="493"/>
        <w:spacing w:after="0" w:line="303"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RGX-121/111: </w:t>
      </w:r>
      <w:r>
        <w:rPr>
          <w:rFonts w:ascii="Arial" w:cs="Arial" w:eastAsia="Arial" w:hAnsi="Arial"/>
          <w:sz w:val="16"/>
          <w:szCs w:val="16"/>
          <w:color w:val="auto"/>
        </w:rPr>
        <w:t>Our patent portfolio relating to RGX-121 or RGX-111 includes one issued U.S. patent that will expire in 2037, three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U.S. patents that will expire in 2034, one issued European patent that will expire in 2034, one issued European patent that will expire in 2036, 12 PCTs that have entered national stage and two pending PCTs for which any issued U.S. or European patents would expire in 2034, 2036, 2037, 2038, 2039 or 2041, in each case without taking into account any possible patent term adjustment or extension.</w:t>
      </w:r>
    </w:p>
    <w:p>
      <w:pPr>
        <w:spacing w:after="0" w:line="258" w:lineRule="exact"/>
        <w:rPr>
          <w:rFonts w:ascii="Arial" w:cs="Arial" w:eastAsia="Arial" w:hAnsi="Arial"/>
          <w:sz w:val="16"/>
          <w:szCs w:val="16"/>
          <w:color w:val="auto"/>
        </w:rPr>
      </w:pPr>
    </w:p>
    <w:p>
      <w:pPr>
        <w:ind w:left="1000" w:right="280" w:hanging="493"/>
        <w:spacing w:after="0" w:line="347"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RGX-181: </w:t>
      </w:r>
      <w:r>
        <w:rPr>
          <w:rFonts w:ascii="Arial" w:cs="Arial" w:eastAsia="Arial" w:hAnsi="Arial"/>
          <w:sz w:val="16"/>
          <w:szCs w:val="16"/>
          <w:color w:val="auto"/>
        </w:rPr>
        <w:t>Our patent portfolio relating to RGX-181 includes two PCTs that have entered national stage for which any issued U.S. or</w:t>
      </w:r>
      <w:r>
        <w:rPr>
          <w:rFonts w:ascii="Arial" w:cs="Arial" w:eastAsia="Arial" w:hAnsi="Arial"/>
          <w:sz w:val="16"/>
          <w:szCs w:val="16"/>
          <w:b w:val="1"/>
          <w:bCs w:val="1"/>
          <w:color w:val="auto"/>
        </w:rPr>
        <w:t xml:space="preserve"> </w:t>
      </w:r>
      <w:r>
        <w:rPr>
          <w:rFonts w:ascii="Arial" w:cs="Arial" w:eastAsia="Arial" w:hAnsi="Arial"/>
          <w:sz w:val="16"/>
          <w:szCs w:val="16"/>
          <w:color w:val="auto"/>
        </w:rPr>
        <w:t>European patent would expire in 2038 or 2039, in each case without taking into account any possible patent term adjustment or extension.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Our patent portfolio covers aspects of our manufacturing processes which support our ability to perform large scale manufacturing, increase yield and purity of AAV vector products and meet clinical supply requirements.</w:t>
      </w:r>
    </w:p>
    <w:p>
      <w:pPr>
        <w:spacing w:after="0" w:line="170"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Our patent portfolio also includes protection for novel validation and potency assays that further support and streamline our manufacturing processes.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Our revenues for the years ended December 31, 2021, 2020 and 2019 consisted solely of license and royalty revenue. Two customers (AbbVie and Novartis Gene Therapies) accounted for approximately 99% of our total revenues for the year ended December 31, 2021. One customer (Novartis Gene Therapies) accounted for approximately 94% of our total revenues for the year ended December 31, 2020. Three customers (Novartis Gene Therapies and two other customers) accounted for approximately 92% of our total revenues for the year ended December 31, 2019. We expect future license and royalty revenue to continue to be derived from a limited number of licensees. Future license and royalty revenue is uncertain due to the contingent nature of our licenses granted to third-parties and may fluctuate significantly from period to period.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are aware of a number of companies focused on developing gene therapies in various disease indications, including 4D Molecular Therapeutics, Inc., Adverum Biotechnologies, Inc., Amicus Therapeutics, Inc., BioMarin Pharmaceutical, Inc., Homology Medicines, Inc., MeiraGTx Limited, Novartis AG, Passage Bio, Inc., PTC Therapeutics, Inc., Roche, Sanofi, Sarepta Therapeutics, Inc., Solid Biosciences, Inc., Taysha Gene Therapies, Inc., Tenaya Therapeutics, Inc. and uniQure N.V., as well as a number of companies addressing other methods for modifying genes and regulating gene expression. Additionally, we have sublicensed our NAV Technology Platform for developing gene therapies in various disease indications to our NAV Technology Licensees. Not only must we compete with other companies that are focused on gene therapy products using earlier generation AAV technology and other gene therapy platforms, but any products that we may commercialize will have to compete with existing therapies and new therapies that may become available in the future.</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There are other organizations working to improve existing therapies or to develop new therapies for our initially selected disease indications.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Depending on how successful these efforts are, it is possible they may increase the barriers to adoption and success for our product candidates, if approved.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efforts include the following:</w:t>
      </w:r>
    </w:p>
    <w:p>
      <w:pPr>
        <w:spacing w:after="0" w:line="99" w:lineRule="exact"/>
        <w:rPr>
          <w:sz w:val="20"/>
          <w:szCs w:val="20"/>
          <w:color w:val="auto"/>
        </w:rPr>
      </w:pPr>
    </w:p>
    <w:p>
      <w:pPr>
        <w:ind w:left="1000" w:right="340" w:hanging="493"/>
        <w:spacing w:after="0" w:line="26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Wet AMD. </w:t>
      </w:r>
      <w:r>
        <w:rPr>
          <w:rFonts w:ascii="Arial" w:cs="Arial" w:eastAsia="Arial" w:hAnsi="Arial"/>
          <w:sz w:val="18"/>
          <w:szCs w:val="18"/>
          <w:color w:val="auto"/>
        </w:rPr>
        <w:t>Marketed competition for wet AMD largely consists of anti-VEGF therapies developed by Roche/Genentech, Inc. (Lucentis,</w:t>
      </w:r>
      <w:r>
        <w:rPr>
          <w:rFonts w:ascii="Arial" w:cs="Arial" w:eastAsia="Arial" w:hAnsi="Arial"/>
          <w:sz w:val="18"/>
          <w:szCs w:val="18"/>
          <w:b w:val="1"/>
          <w:bCs w:val="1"/>
          <w:color w:val="auto"/>
        </w:rPr>
        <w:t xml:space="preserve"> </w:t>
      </w:r>
      <w:r>
        <w:rPr>
          <w:rFonts w:ascii="Arial" w:cs="Arial" w:eastAsia="Arial" w:hAnsi="Arial"/>
          <w:sz w:val="18"/>
          <w:szCs w:val="18"/>
          <w:color w:val="auto"/>
        </w:rPr>
        <w:t>Susvimo, Vabysmo), Regeneron Pharmaceuticals, Inc. (Eylea) and Novartis (Beovu). Companies with products in development for the treatment of wet AMD include, but may not be limited to, Adverum, Graybug Vision, Inc., Kodiak Sciences, Inc., Opthea and Outlook Therapeutics, Inc..</w:t>
      </w:r>
    </w:p>
    <w:p>
      <w:pPr>
        <w:spacing w:after="0" w:line="71" w:lineRule="exact"/>
        <w:rPr>
          <w:rFonts w:ascii="Arial" w:cs="Arial" w:eastAsia="Arial" w:hAnsi="Arial"/>
          <w:sz w:val="18"/>
          <w:szCs w:val="18"/>
          <w:color w:val="auto"/>
        </w:rPr>
      </w:pPr>
    </w:p>
    <w:p>
      <w:pPr>
        <w:ind w:left="1000" w:right="60" w:hanging="493"/>
        <w:spacing w:after="0" w:line="25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DR. </w:t>
      </w:r>
      <w:r>
        <w:rPr>
          <w:rFonts w:ascii="Arial" w:cs="Arial" w:eastAsia="Arial" w:hAnsi="Arial"/>
          <w:sz w:val="18"/>
          <w:szCs w:val="18"/>
          <w:color w:val="auto"/>
        </w:rPr>
        <w:t>Currently marketed anti-VEGF competition for DR with DME include Roche/Genentech (Lucentis, Vabysmo) and Regeneron (Eylea).</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with products in development for the treatment of DR with DME include, but may not be limited to, Graybug Vision, Kodiak Sciences, Novartis, Opthea and Roche. The principal marketed anti-VEGF competition for DR without DME is Roche/Genentech (Lucentis) and Regeneron (Eylea). Companies with products in development for the treatment of DR without DME include, but may not be limited to, Kodiak Sciences, Novartis and Roche.</w:t>
      </w:r>
    </w:p>
    <w:p>
      <w:pPr>
        <w:spacing w:after="0" w:line="75" w:lineRule="exact"/>
        <w:rPr>
          <w:rFonts w:ascii="Arial" w:cs="Arial" w:eastAsia="Arial" w:hAnsi="Arial"/>
          <w:sz w:val="18"/>
          <w:szCs w:val="18"/>
          <w:color w:val="auto"/>
        </w:rPr>
      </w:pPr>
    </w:p>
    <w:p>
      <w:pPr>
        <w:ind w:left="1000" w:right="300" w:hanging="493"/>
        <w:spacing w:after="0" w:line="25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DMD. </w:t>
      </w:r>
      <w:r>
        <w:rPr>
          <w:rFonts w:ascii="Arial" w:cs="Arial" w:eastAsia="Arial" w:hAnsi="Arial"/>
          <w:sz w:val="18"/>
          <w:szCs w:val="18"/>
          <w:color w:val="auto"/>
        </w:rPr>
        <w:t>There are currently two companies with marketed branded products to treat DMD. Sarepta products (Exondys, Vyondys) and PTC</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products (Translarna, Emflaza) are only available in select geographies. There are three principal competitive gene therapy products in clinical development from Pfizer, Inc (PF-06939926), Sarepta/Roche (SRP-9001) and Solid Biosciences (SGT-001). Other companies with gene therapies in early development for DMD include, but may not limited to, Astellas Pharma Inc., Genethon and Ultragenyx.</w:t>
      </w:r>
    </w:p>
    <w:p>
      <w:pPr>
        <w:spacing w:after="0" w:line="75"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MPS II. </w:t>
      </w:r>
      <w:r>
        <w:rPr>
          <w:rFonts w:ascii="Arial" w:cs="Arial" w:eastAsia="Arial" w:hAnsi="Arial"/>
          <w:sz w:val="17"/>
          <w:szCs w:val="17"/>
          <w:color w:val="auto"/>
        </w:rPr>
        <w:t>The principal marketed competition for the treatment of MPS II is a systemic enzyme replacement therapy marketed by Takeda</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 Company, Ltd. and Sanofi (Elaprase). In 2021, a blood-brain barrier penetrating enzyme replacement therapy marketed by JCR Pharmaceuticals Co., Ltd. (Izcargo) was approved in Japan for the treatment of systemic and neurological manifestations of MPS II. Companies with products in development for the treatment of MPS II include, but may not be limited to, Avrobio, Inc., Denali Therapeutics Inc., Homology Medicines, Sigilon Therapeutics, Inc. and Takeda.</w:t>
      </w:r>
    </w:p>
    <w:p>
      <w:pPr>
        <w:spacing w:after="0" w:line="59" w:lineRule="exact"/>
        <w:rPr>
          <w:rFonts w:ascii="Arial" w:cs="Arial" w:eastAsia="Arial" w:hAnsi="Arial"/>
          <w:sz w:val="17"/>
          <w:szCs w:val="17"/>
          <w:color w:val="auto"/>
        </w:rPr>
      </w:pPr>
    </w:p>
    <w:p>
      <w:pPr>
        <w:ind w:left="1000" w:right="580" w:hanging="493"/>
        <w:spacing w:after="0" w:line="26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MPS I. </w:t>
      </w:r>
      <w:r>
        <w:rPr>
          <w:rFonts w:ascii="Arial" w:cs="Arial" w:eastAsia="Arial" w:hAnsi="Arial"/>
          <w:sz w:val="18"/>
          <w:szCs w:val="18"/>
          <w:color w:val="auto"/>
        </w:rPr>
        <w:t>There is one principal competitor with a marketed product for the treatment of MPS I, Sanofi (Aldurazyme). Companies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development for the treatment of MPS I include, but may not be limited to, JCR Pharmaceuticals Co., Ltd. and Orchard Therapeutics plc.</w:t>
      </w:r>
    </w:p>
    <w:p>
      <w:pPr>
        <w:spacing w:after="0" w:line="67" w:lineRule="exact"/>
        <w:rPr>
          <w:rFonts w:ascii="Arial" w:cs="Arial" w:eastAsia="Arial" w:hAnsi="Arial"/>
          <w:sz w:val="18"/>
          <w:szCs w:val="18"/>
          <w:color w:val="auto"/>
        </w:rPr>
      </w:pPr>
    </w:p>
    <w:p>
      <w:pPr>
        <w:ind w:left="1000" w:right="20" w:hanging="493"/>
        <w:spacing w:after="0" w:line="266"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CLN2 Disease. </w:t>
      </w:r>
      <w:r>
        <w:rPr>
          <w:rFonts w:ascii="Arial" w:cs="Arial" w:eastAsia="Arial" w:hAnsi="Arial"/>
          <w:sz w:val="18"/>
          <w:szCs w:val="18"/>
          <w:color w:val="auto"/>
        </w:rPr>
        <w:t>There is one principal competitor with a marketed product for the treatment of CLN2 disease, BioMarin (Brineura).</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with products in development for the treatment of CLN2 disease include, but may not be limited to, Lexeo Therapeutics, Orphion Therapeutics and Roche.</w:t>
      </w:r>
    </w:p>
    <w:p>
      <w:pPr>
        <w:spacing w:after="0" w:line="180"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Many of our competitors, either alone or with their strategic partners, have substantially greater financial, technical and human resources than we do. Our competitors may be more successful than us in obtaining approval for treatments and achieving widespread market acceptance. Our competitors’ treatments may be more effective, or more effectively marketed and sold, than any treatment we may commercialize and may render our treatments obsolete or non-competitive before we can recover the expenses of developing and commercializing any of our treatments.</w:t>
      </w:r>
    </w:p>
    <w:p>
      <w:pPr>
        <w:spacing w:after="0" w:line="17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We anticipate that we will face intense and increasing competition as new drugs and treatments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the United States, biological products, including gene therapy products, are subject to regulation under the Federal Food, Drug, and Cosmetic Act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Applications to the FDA are required before conducting clinical testing of biological products, and each clinical study protocol for a gene therapy product is reviewed by the FDA.</w:t>
      </w:r>
    </w:p>
    <w:p>
      <w:pPr>
        <w:spacing w:after="0" w:line="188" w:lineRule="exact"/>
        <w:rPr>
          <w:sz w:val="20"/>
          <w:szCs w:val="20"/>
          <w:color w:val="auto"/>
        </w:rPr>
      </w:pPr>
    </w:p>
    <w:p>
      <w:pPr>
        <w:jc w:val="both"/>
        <w:ind w:right="400" w:firstLine="510"/>
        <w:spacing w:after="0" w:line="311" w:lineRule="auto"/>
        <w:rPr>
          <w:sz w:val="20"/>
          <w:szCs w:val="20"/>
          <w:color w:val="auto"/>
        </w:rPr>
      </w:pPr>
      <w:r>
        <w:rPr>
          <w:rFonts w:ascii="Arial" w:cs="Arial" w:eastAsia="Arial" w:hAnsi="Arial"/>
          <w:sz w:val="16"/>
          <w:szCs w:val="16"/>
          <w:color w:val="auto"/>
        </w:rPr>
        <w:t>Within the FDA, the Center for Biologics Evaluation and Research (CBER) regulates gene therapy products. The FDA has published guidance documents related to, among other things, gene therapy products in general, their preclinical assessment, observing subjects involved in gene therapy studies for delayed adverse events, potency testing, and chemistry, manufacturing and control information in gene therapy INDs.</w:t>
      </w:r>
    </w:p>
    <w:p>
      <w:pPr>
        <w:spacing w:after="0" w:line="14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Ethical, scientific,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17" w:lineRule="exact"/>
        <w:rPr>
          <w:sz w:val="20"/>
          <w:szCs w:val="20"/>
          <w:color w:val="auto"/>
        </w:rPr>
      </w:pPr>
    </w:p>
    <w:p>
      <w:pPr>
        <w:ind w:left="1000" w:right="80" w:hanging="493"/>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completion of nonclinical laboratory tests, including evaluations of product chemistry, formulations, toxicity in animal studies in accordance with good laboratory practice (GLP) and applicable requirements for the humane use of laboratory animals or other applicable regulations;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17"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requirements for good clinical practice (GCP) and additional requirements for the protection of human research subjects and their health information, to establish the safety and efficacy of the proposed biological product for its intended use;</w:t>
      </w:r>
    </w:p>
    <w:p>
      <w:pPr>
        <w:spacing w:after="0" w:line="75"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and potency from results of nonclinical testing and clinical studies, as well as information on the chemistry, manufacturing and controls to ensure product identity and quality, and proposed labeling;</w:t>
      </w:r>
    </w:p>
    <w:p>
      <w:pPr>
        <w:spacing w:after="0" w:line="75" w:lineRule="exact"/>
        <w:rPr>
          <w:rFonts w:ascii="Arial" w:cs="Arial" w:eastAsia="Arial" w:hAnsi="Arial"/>
          <w:sz w:val="18"/>
          <w:szCs w:val="18"/>
          <w:color w:val="auto"/>
        </w:rPr>
      </w:pPr>
    </w:p>
    <w:p>
      <w:pPr>
        <w:ind w:left="1000" w:right="80" w:hanging="493"/>
        <w:spacing w:after="0" w:line="311"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 and, if applicable, the FDA’s current good tissue practice (GTP), for the use of human cellular and tissue products;</w:t>
      </w:r>
    </w:p>
    <w:p>
      <w:pPr>
        <w:spacing w:after="0" w:line="40"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FDA inspection of the nonclinical and clinical study sites and the clinical study sponsor that generated the data in support of the BLA;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65"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imposing the GCP requirements, including the requirement that all research subjects provide informed consent. Further, each clinical study must be reviewed and approved by an independent institutional review board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studies generally also must be reviewed by an institutional biosafety committee (IBC), a local institutional committee that reviews and oversees basic and clinical research conducted at that institution. The IBC assesses the safety of the research and identifies any potential risk to public health or the environment. Some studies also employ a Data and Safety Monitoring Board (DSMB), which operates with independence from the study sponsor and has access to unblinded study data during the course of the study and may halt a study for ethical reasons such as undue safety risks.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studies are typically conducted in three sequential phases that may overlap or be combined:</w:t>
      </w:r>
    </w:p>
    <w:p>
      <w:pPr>
        <w:spacing w:after="0" w:line="117" w:lineRule="exact"/>
        <w:rPr>
          <w:sz w:val="20"/>
          <w:szCs w:val="20"/>
          <w:color w:val="auto"/>
        </w:rPr>
      </w:pPr>
    </w:p>
    <w:p>
      <w:pPr>
        <w:ind w:left="1000" w:right="640" w:hanging="493"/>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I. The biological product is initially introduced into healthy human subjects and tested for safety. However, in the case of some products for rare, severe or life-threatening diseases, the initial human testing is often conducted in patients.</w:t>
      </w:r>
    </w:p>
    <w:p>
      <w:pPr>
        <w:spacing w:after="0" w:line="38" w:lineRule="exact"/>
        <w:rPr>
          <w:rFonts w:ascii="Arial" w:cs="Arial" w:eastAsia="Arial" w:hAnsi="Arial"/>
          <w:sz w:val="17"/>
          <w:szCs w:val="17"/>
          <w:color w:val="auto"/>
        </w:rPr>
      </w:pPr>
    </w:p>
    <w:p>
      <w:pPr>
        <w:ind w:left="1000" w:right="8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II. The biological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75" w:lineRule="exact"/>
        <w:rPr>
          <w:rFonts w:ascii="Arial" w:cs="Arial" w:eastAsia="Arial" w:hAnsi="Arial"/>
          <w:sz w:val="18"/>
          <w:szCs w:val="18"/>
          <w:color w:val="auto"/>
        </w:rPr>
      </w:pPr>
    </w:p>
    <w:p>
      <w:pPr>
        <w:ind w:left="1000" w:hanging="493"/>
        <w:spacing w:after="0" w:line="25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III.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product approval and labeling. Post-approval clinical studies, sometimes referred to as Phase IV clinical studies, may be conducted after initial marketing approval. These clinical studies are used to gain additional experience from the treatment of patients in the intended therapeutic indication, particularly for long-term safety follow-up. In some cases, Phase IV studies may be required by the FDA as a condition of approval. The FDA recommends that sponsors observe subjects for potential gene therapy-related delayed adverse events for as long as 15 years.</w:t>
      </w:r>
    </w:p>
    <w:p>
      <w:pPr>
        <w:spacing w:after="0" w:line="19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expedited reporting. The sponsor also must notify the FDA of any unexpected fatal or life-threatening suspected adverse reaction within seven calendar days after the sponsor’s initial receipt of the information. Phase I, Phase II and Phase III clinical studies may not be completed successfully within any specified period, if at all. The FDA or the sponsor or its DSMB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8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our ability to recruit sufficient numbers of study subjects for any trial, or that the data generated in these studies will be acceptable to the FDA to support marketing approval.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Concurrent with clinical studies,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Under the Prescription Drug User Fee Act (PDUFA), the BLA must be accompanied by a substantial user fee payment unless an exception or waiver applies. In addition, under the Pediatric Research Equity Act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pediatric data or full or partial waivers of pediatric requirements.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19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including whether it is effective, for its intended use, and has an acceptable purity profile, and whether the product is being manufactured in accordance with cGMP to assure and preserve the product’s identity, strength, quality, potency and purity as those factors relate to the safety or effectiveness of the product.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upon marketing. If the FDA concludes a REMS is needed, the sponsor of the BLA must submit a proposed REMS; the FDA will not approve the BLA without a REMS, if required.</w:t>
      </w:r>
    </w:p>
    <w:p>
      <w:pPr>
        <w:spacing w:after="0" w:line="18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 These are FDA regulations that govern the methods used in, and the facilities and controls used for, the manufacture of human cells, tissues,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designed to further assess a biological product’s safety and effectiveness, and testing and surveillance programs to monitor the safety of approved products that have been commercialized.</w:t>
      </w:r>
    </w:p>
    <w:p>
      <w:pPr>
        <w:spacing w:after="0" w:line="192"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One of the performance goals agreed to by the FDA under PDUFA is to review 90% of standard BLAs in 10 months of the 60-day filing date and 90% of priority BLAs in six months of the 60-day filing date, whereupon a review decision is to be made. Two months are added to these time periods for new molecular entities.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constituting a major amendment to the BLA.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defined under the FD&amp;C Act as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5"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If a product that has orphan designation subsequently receives the first FDA approval for that product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(EU) has similar, but not identical, benefits.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Orphan drug products are also eligible for Rare Pediatric Disease Designation if greater than 50% of patients living with the disease are under age</w:t>
      </w:r>
    </w:p>
    <w:p>
      <w:pPr>
        <w:spacing w:after="0" w:line="46" w:lineRule="exact"/>
        <w:rPr>
          <w:sz w:val="20"/>
          <w:szCs w:val="20"/>
          <w:color w:val="auto"/>
        </w:rPr>
      </w:pPr>
    </w:p>
    <w:p>
      <w:pPr>
        <w:ind w:right="280" w:firstLine="8"/>
        <w:spacing w:after="0" w:line="260"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priority review voucher will be given to the sponsor of a product with a Rare Pediatric Disease Designation at the time of product approval that is transferable to another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drugs and biological products, including precision drugs or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Also under the Fast Track program,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Breakthrough Therapy designation, priority review, and accelerated approval. Under the Breakthrough Therapy program, products intended to treat a serious or life-threatening disease or condition may be eligible for additional benefits when preliminary clinical evidence demonstrates that such product may have substantial improvement on one or more clinically significant endpoints over existing therapies. The FDA will seek to ensure the sponsor of a breakthrough therapy product receives timely advice and interactive communications to help the sponsor design and conduct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development program as efficiently as possible. In addition, gene therapies, including genetically modified cells, that lead to a durable modification of cells or tissues, may be eligible for regenerative medicine advanced therapy (RMAT) designation. Products with an RMAT designation are eligible for the benefits of Breakthrough Therapy in addition to allowing the sponsor the ability to participate in meetings with the FDA to discuss whether accelerated approval would be appropriate based on surrogate or intermediate endpoints reasonably likely to predict long-term clinical benefit. Any product is eligible for priority review if it has the potential to provide safe and effective therapy where no satisfactory alternative therapy exists or a significant improvement in the treatment, diagnosis or prevention of a serious or life-threatening disease or condition compared to marketed products. Specific priority review programs exist for material threat medical countermeasures, rare pediatric diseases and tropical diseases. The FDA will attempt to direct additional resources to the evaluation of an application for a new drug or biological product designated for priority review in an effort to facilitate the review, in accordance with FDA guidance. 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will require that a sponsor of a drug or biological product receiving accelerated approval perform adequate and well-controlled post-marketing clinical studies to confirm the clinical benefit of the medicine. In addition, the FDA currently requires as a condition for accelerated approval pre-submission of promotional materials, which could adversely impact the timing of the commercial launch of the product. Fast Track designation, Breakthrough Therapy or RMAT designation, priority review and accelerated approval do not change the standards for approval. Rather, these programs are intended to expedite the development and approval process, but do not necessarily accomplish that intent.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strength, quality, potency, or purity of a distributed product in a manner that may impact the safety or effectiveness of the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7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also must comply with the FDA’s advertising and promotion and related medical communication requirements, such as those related to direct-to-consumer advertising, the prohibition on promoting products for uses or in patient populations that are not described in the product’s approved labeling (known as “off-label use”), the requirement to balance promotion information on efficacy with important safety information and limitations on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8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withdrawal of the product from the market. In addition, changes to the manufacturing process or facility generally require prior FDA approval before being implemented and other types of changes to the approved product or conditions of approval, such as adding new indications and additional labeling claims, are also subject to further FDA review and approval.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studies and other factors involved in the filing of the relevant BLA.</w:t>
      </w:r>
    </w:p>
    <w:p>
      <w:pPr>
        <w:spacing w:after="0" w:line="168"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A biological product can obtain pediatric market exclusivity in the United States. Pediatric exclusivity, if granted in the case of a biologic approved under a BLA, adds six months to existing exclusivity periods. This six-month exclusivity, which runs from the end of other exclusivity protection, may be granted based on the voluntary completion of a pediatric study in accordance with an FDA-issued “Written Request” for such a study.</w:t>
      </w:r>
    </w:p>
    <w:p>
      <w:pPr>
        <w:spacing w:after="0" w:line="149"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Patient Protection and Affordable Care Act (PPACA)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interchangeability approval.</w:t>
      </w:r>
    </w:p>
    <w:p>
      <w:pPr>
        <w:spacing w:after="0" w:line="194"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 Equivalent laws have been adopted in other countries that impose similar obligations.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Regulations</w:t>
      </w:r>
    </w:p>
    <w:p>
      <w:pPr>
        <w:spacing w:after="0" w:line="117"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use of pharmaceutical products that are granted marketing approval. Arrangements with third-party payors, existing or potential customers and referral sources are subject to broadly applicable fraud and abuse and other healthcare laws and regulations, and these laws and regulations may constrain the business or financial arrangements and relationships through which manufacturers market, sell and distribute the products for which they obtain marketing approval. Such restrictions under applicable federal and state healthcare laws and regulations include the following:</w:t>
      </w:r>
    </w:p>
    <w:p>
      <w:pPr>
        <w:spacing w:after="0" w:line="68" w:lineRule="exact"/>
        <w:rPr>
          <w:sz w:val="20"/>
          <w:szCs w:val="20"/>
          <w:color w:val="auto"/>
        </w:rPr>
      </w:pPr>
    </w:p>
    <w:p>
      <w:pPr>
        <w:ind w:left="1000" w:right="140" w:hanging="493"/>
        <w:spacing w:after="0" w:line="293"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patients, purchasers and formulary managers on the other. PPACA amends the intent requirement of the federal Anti-Kickback Statute. A person or entity no longer needs to have actual knowledge of this statute or specific intent to violate it;</w:t>
      </w:r>
    </w:p>
    <w:p>
      <w:pPr>
        <w:spacing w:after="0" w:line="56" w:lineRule="exact"/>
        <w:rPr>
          <w:rFonts w:ascii="Arial" w:cs="Arial" w:eastAsia="Arial" w:hAnsi="Arial"/>
          <w:sz w:val="16"/>
          <w:szCs w:val="16"/>
          <w:color w:val="auto"/>
        </w:rPr>
      </w:pPr>
    </w:p>
    <w:p>
      <w:pPr>
        <w:ind w:left="1000" w:right="60" w:hanging="493"/>
        <w:spacing w:after="0" w:line="286"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False Claims Act (FCA), which prohibits, among other things, individuals or entities from knowingly presenting, or causing to be presented, claims for payment from Medicare, Medicaid or other federal healthcare programs that are false or fraudulent. Federal Anti-Kickback Statute violations and certain marketing practices, including off-label promotion, also may implicate the FCA:</w:t>
      </w:r>
    </w:p>
    <w:p>
      <w:pPr>
        <w:spacing w:after="0" w:line="57" w:lineRule="exact"/>
        <w:rPr>
          <w:rFonts w:ascii="Arial" w:cs="Arial" w:eastAsia="Arial" w:hAnsi="Arial"/>
          <w:sz w:val="17"/>
          <w:szCs w:val="17"/>
          <w:color w:val="auto"/>
        </w:rPr>
      </w:pPr>
    </w:p>
    <w:p>
      <w:pPr>
        <w:ind w:left="1000" w:right="5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00" w:right="20" w:hanging="493"/>
        <w:spacing w:after="0" w:line="286"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Physician Payment Sunshine Act, which requires certain manufacturers of drugs, devices, biologics and medical supplies to report annually to the Centers for Medicare &amp; Medicaid Services (CMS) information related to payments and other transfers of value to physicians and teaching hospitals, and ownership and investment interests held by physicians and their immediate family members;</w:t>
      </w:r>
    </w:p>
    <w:p>
      <w:pPr>
        <w:spacing w:after="0" w:line="57" w:lineRule="exact"/>
        <w:rPr>
          <w:rFonts w:ascii="Arial" w:cs="Arial" w:eastAsia="Arial" w:hAnsi="Arial"/>
          <w:sz w:val="17"/>
          <w:szCs w:val="17"/>
          <w:color w:val="auto"/>
        </w:rPr>
      </w:pPr>
    </w:p>
    <w:p>
      <w:pPr>
        <w:ind w:left="1000" w:right="4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00" w:right="400" w:hanging="493"/>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38" w:lineRule="exact"/>
        <w:rPr>
          <w:rFonts w:ascii="Arial" w:cs="Arial" w:eastAsia="Arial" w:hAnsi="Arial"/>
          <w:sz w:val="17"/>
          <w:szCs w:val="17"/>
          <w:color w:val="auto"/>
        </w:rPr>
      </w:pPr>
    </w:p>
    <w:p>
      <w:pPr>
        <w:ind w:left="1000" w:right="20" w:hanging="493"/>
        <w:spacing w:after="0" w:line="271"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these state and foreign laws differ from federal law and from each other in significant ways and may not have the same effect, thus complicating compliance efforts.</w:t>
      </w:r>
    </w:p>
    <w:p>
      <w:pPr>
        <w:spacing w:after="0" w:line="17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Violation of any of the laws described above or any other governmental laws and regulations may result in penalties, including civil and criminal penalties, damages, fines, the curtailment or restructuring of operations, the exclusion from participation in federal and state healthcare programs and imprisonment. Furthermore, efforts to ensure that business activities and business arrangements comply with applicable healthcare laws and regulations can be costly for manufacturers of branded prescription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United States and markets in other countries, sales of any product candidates for which regulatory approval for commercial sale is obtained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FDA-approved drugs for a particular indication. Moreover, a payor’s decision to provide coverage for a drug product does not imply that an adequate reimbursement rate will be approved.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New metrics frequently are used as the basis for reimbursement rates, such as average sales price, average manufacturer price and actual acquisition cost. In order to obtain coverage and reimbursement for any product that might be approved for sale, it may be necessary to conduct expensive pharmacoeconomic studies in order to demonstrate the medical necessity and cost-effectiveness of the products, in addition to the costs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Health Technology Assessment which is intended to take account of medical, social, economic and ethical issues when determining the suitability of a medicinal product for reimbursement has increasingly become an element of the pricing and reimbursement decisions of the competent authorities in EU Member States.</w:t>
      </w:r>
    </w:p>
    <w:p>
      <w:pPr>
        <w:spacing w:after="0" w:line="18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PPACA contains provisions that may reduce the profitability of drug products, including, for example, increasing the minimum rebates owed by manufacturers under the Medicaid Drug Rebate Program, extending the rebate program to individuals enrolled in Medicaid managed care plans, addressing a new methodology by which rebates owed by manufacturers under the Medicaid Drug Rebate Program are calculated for drugs that are inhaled, infused, instilled, implanted or injected and establishing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U.S. Foreign Corrupt Practices Act (FCPA), to which we are subject, prohibits corporations and individuals from engaging in bribery and corruption when dealing with foreign government officials. It is illegal to pay, offer to pay, promise or authorize the payment of money or anything of value, directly or indirectly, to any foreign government official, political party or political candidate in an attempt to secure an improper advantage in order to obtain or retain business or to otherwise improperly influence a foreign official in his or her official capacity. Comparable laws have been adopted in other countries that impose similar obligations. We are also subject to the FCPA’s accounting provisions, which require us to keep accurate books and records and to maintain a system of internal accounting controls sufficient to assure management’s control, authority, and responsibility over our assets. The failure to comply with the FCPA and similar laws could result in civil or criminal sanctions or other adverse consequences.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studies or marketing of the product in those countries. Many countries outside of the United States have a similar process that requires the submission of a clinical study application much like the IND prior to the commencement of human clinical studies. In the EU, for example, clinical trials are governed by the new EU Regulation on Clinical Trials (Reg. EU No. 536/2014), or CTR, which became applicable in January 2022 and stipulates the process of obtaining competent authority approval for clinical trials in the EU. Under the CTR, trial sponsors submit their application for approval via an EU Portal. The approvals will still need to be granted by the competent authorities of the EU Member States where a trial takes place; however, the procedure for approval will be conducted in a coordinated manner among the concerned EU Member States as provided under the CTR. While the process for the application and granting of the approvals was streamlined, it remains a complex process that can significantly delay the start of a multinational clinical trial.</w:t>
      </w:r>
    </w:p>
    <w:p>
      <w:pPr>
        <w:spacing w:after="0" w:line="181"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To obtain regulatory approval of a biological medicinal product under EU regulatory systems, we must submit a marketing authorization application. The grant of marketing authorization in the EU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and Regulation (EC) No 726/2004 of the European Parliament and of the Council of 31 March 2004 laying down Community procedures for the authorization and supervision of medicinal products for human and veterinary use and establishing the European Medicines Agency (the EMA), commonly referred to as the EMA Regulation. Regulation 1394/2007/EC lays down specific rules concerning the authorization, supervision and pharmacovigilance of gene therapy medicinal products, somatic cell therapy medicinal products and tissue engineered products. The EMA’s Committee for Advanced Therapies (CAT) is responsible for assessing the quality, safety and efficacy of advanced therapy medicinal products (ATMP). ATMP include gene therapy medicinal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products, somatic cell therapy medicinal products and tissue engineered products. The role of the CAT is to prepare a draft opinion on an application for marketing authorization for an ATMP candidate that is submitted to the EMA. The EMA then provides a final opinion regarding the application for marketing authorization. The European Commission grants or refuses marketing authorization after the EMA has delivered its opinion.</w:t>
      </w:r>
    </w:p>
    <w:p>
      <w:pPr>
        <w:spacing w:after="0" w:line="14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Innovative medicinal products are authorized in the EU on the basis of a full marketing authorization application (as opposed to an application for marketing authorization that relies, in whole or in part,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Innovative medicinal products for which marketing authorization is granted are entitled to eight years of data exclusivity. During this period, applicants for approval of generics or biosimilars of these innovative products cannot rely on data contained in the marketing authorization dossier submitted for the innovative medicinal product to support their application. Innovative medicinal products for which marketing authorization is granted are also entitled to ten years of market exclusivity. During these ten years of market exclusivity, no generic or biosimilar medicinal product may be placed on the EU market even if a marketing authorization application for approval of a generic or biosimilar of the innovative product has been submitted to the EMA or to the competent regulatory authorities in the EU Member States and marketing authorization has been granted. The ten years of market exclusivity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an innovative medicinal product which is eligible for the relevant periods of data and market exclusivity.</w:t>
      </w:r>
    </w:p>
    <w:p>
      <w:pPr>
        <w:spacing w:after="0" w:line="184"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Products authorized as “orphan medicinal products” in the EU are entitled to benefits additional to those granted in relation to innovative medicinal products. In accordance with Article 3 of Regulation (EC) No. 141/2000 of the European Parliament and of the Council of 16 December 1999 on orphan medicinal products, a medicinal product may be designated as an orphan medicinal product if (1) it is intended for the diagnosis, prevention or treatment of a life-threatening or chronically debilitating condition; (2) either (a) such condition affects no more than five in 10,000 persons in the EU when the application is made, or (b) the product, without the incentives derived from orphan medicinal product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Further guidance on such criteria is provided in European Commission Regulation (EC) No. 847/2000 of 27 April 2000 laying down the provisions for implementation of the criteria for designation of a medicinal product as an orphan medicinal product and definitions of the concepts “similar medicinal product” and “clinical superiority”. Orphan medicinal products are eligible for financial incentives such as reduction of fees or fee waivers and following grant of a marketing authorization, the EMA and the EU Member States’ competent authorities are not permitted to accept another application for a marketing authorization, or grant a marketing authorization or accept an application to extend an existing marketing authorization, for the same therapeutic indication of a similar medicinal product for ten years following grant or authorization. The application for orphan drug designation must be submitted before the application for marketing authorization. The applicant may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395" w:lineRule="exact"/>
        <w:rPr>
          <w:sz w:val="20"/>
          <w:szCs w:val="20"/>
          <w:color w:val="auto"/>
        </w:rPr>
      </w:pPr>
    </w:p>
    <w:p>
      <w:pPr>
        <w:ind w:right="540" w:firstLine="510"/>
        <w:spacing w:after="0" w:line="259" w:lineRule="auto"/>
        <w:rPr>
          <w:sz w:val="20"/>
          <w:szCs w:val="20"/>
          <w:color w:val="auto"/>
        </w:rPr>
      </w:pPr>
      <w:r>
        <w:rPr>
          <w:rFonts w:ascii="Arial" w:cs="Arial" w:eastAsia="Arial" w:hAnsi="Arial"/>
          <w:sz w:val="18"/>
          <w:szCs w:val="18"/>
          <w:color w:val="auto"/>
        </w:rPr>
        <w:t>The 10-year market exclusivity that an orphan drug enjoys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during the 10-year period of market exclusivity for the same therapeutic indication at any time if:</w:t>
      </w:r>
    </w:p>
    <w:p>
      <w:pPr>
        <w:spacing w:after="0" w:line="79" w:lineRule="exact"/>
        <w:rPr>
          <w:sz w:val="20"/>
          <w:szCs w:val="20"/>
          <w:color w:val="auto"/>
        </w:rPr>
      </w:pPr>
    </w:p>
    <w:p>
      <w:pPr>
        <w:ind w:left="1000" w:right="1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holder of the marketing authorization for the original orphan medicinal product cannot supply enough orphan medicinal product.</w:t>
      </w:r>
    </w:p>
    <w:p>
      <w:pPr>
        <w:spacing w:after="0" w:line="237" w:lineRule="exact"/>
        <w:rPr>
          <w:sz w:val="20"/>
          <w:szCs w:val="20"/>
          <w:color w:val="auto"/>
        </w:rPr>
      </w:pPr>
    </w:p>
    <w:p>
      <w:pPr>
        <w:ind w:right="480" w:firstLine="510"/>
        <w:spacing w:after="0" w:line="308" w:lineRule="auto"/>
        <w:rPr>
          <w:sz w:val="20"/>
          <w:szCs w:val="20"/>
          <w:color w:val="auto"/>
        </w:rPr>
      </w:pPr>
      <w:r>
        <w:rPr>
          <w:rFonts w:ascii="Arial" w:cs="Arial" w:eastAsia="Arial" w:hAnsi="Arial"/>
          <w:sz w:val="17"/>
          <w:szCs w:val="17"/>
          <w:color w:val="auto"/>
        </w:rPr>
        <w:t>Similar to obligations imposed in the United States, medicinal products authorized in the EU may be subject to post-authorization obligations, including the obligation to conduct Post Marketing Safety Studies (PASS) or Post Marketing Efficacy Studies (PAES).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Reimbursement for medicinal products is still an area that is not harmonized in the EU and is largely governed by EU Member States’ laws. However, there are some EU level legal frameworks that must be taken into account, including Council Directive 89/105/EEC (the Price Transparency Directive). The aim of the Price Transparency Directive is to ensure that pricing and reimbursement mechanisms established in EU Member States are transparent and objective, do not hinder the free movement and trade of medicinal products in the EU and do not hinder, prevent or distort competition on the market. The Price Transparency Directive does not, however, provide any guidance concerning the specific criteria on the basis of which pricing and reimbursement decisions are to be made in individual EU Member States. Neither does it have any direct consequence for pricing or levels of reimbursement in individual EU Member States. The national authorities of the individual EU Member States are free to restrict the range of medicinal products for which their national health insurance systems provide reimbursement and to control the prices and/or reimbursement of medicinal products for human use. Individual EU Member States adopt policies according to which a specific price or level of reimbursement is approved for the medicinal product. Other EU Member States adopt a system of reference pricing, basing the price or reimbursement level in their territory either, on the pricing and reimbursement levels in other countries, or on the pricing and reimbursement levels of medicinal products intended for the same therapeutic indication. Furthermore, some EU Member States impose direct or indirect controls on the profitability of the company placing the medicinal product on the market.</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2011, Directive 2011/24/EU was adopted at the EU level. This Directive concerns the application of patients’ rights in cross-border healthcare.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Directive is intended to establish rules for facilitating access to safe and high-quality cross-border healthcare in the EU.</w:t>
      </w:r>
    </w:p>
    <w:p>
      <w:pPr>
        <w:spacing w:after="0" w:line="211"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Health Technology Assessment (HTA) of medicinal products is becoming an increasingly common part of the pricing and reimbursement procedures in some EU Member States. HTA is the procedure according to which the assessment of the public health impact, therapeutic impact and the economic and societal impact of the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national healthcare system. Those elements of medicinal products are compared with other treatment options available on the market.</w:t>
      </w:r>
    </w:p>
    <w:p>
      <w:pPr>
        <w:spacing w:after="0" w:line="161"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The outcome of HTA may influence the pricing and reimbursement status for specific medicinal products within individual EU member states. The extent to which pricing and reimbursement decisions are influenced by the HTA of a specific medicinal product vary between the EU Member States.</w:t>
      </w:r>
    </w:p>
    <w:p>
      <w:pPr>
        <w:spacing w:after="0" w:line="12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 new Regulation on HTA on EU level was adopted in December 2021: Regulation (EU) 2021/2282 of the European Parliament and of the Council of 15 December 2021 on health technology assessment and amending Directive 2011/24/EU (the HTA Regulation). The HTA Regulation covers new medicines and certain new medical devices. Member states will be able to use common HTA tools, methodologies and procedures across the EU, working together in four main areas: 1) joint clinical assessments focusing on the most innovative health technologies with the most potential impact for patients; 2) joint scientific consultations whereby developers can seek advice from HTA authorities; 3) identification of emerging health technologies to identify promising technologies early; and 4) continuing voluntary cooperation in other areas. Individual member states will continue to be responsible for assessing non-clinical (e.g., economic, social, ethical) aspects of health technology, and making decisions on pricing and reimbursement. The HTA Regulation will become applicable in January 2025. For other countries outside of the EU,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8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United Kingdom (UK) formally left the EU on January 31, 2020 and a transitional period applied until the UK’s withdrawal from the EU became fully effective on December 31, 2020. As of January 1, 2021, the UK is a “third country” with respect to the EU (subject to the terms of the EU UK Trade Agreement), and EU law ceased to apply directly in the UK. However, the UK has retained the EU regulatory regime with certain modifications as standalone UK legislation. Therefore, the UK regulatory regime is currently similar to EU regulations, but under proposed legislation, the Medicines and Medical Devices Act, the UK may adopt changed regulations that may diverge from the EU legislative regime for medicines, including their research, development and commercialization, and has issued a consultation document with respect to future changes. For a two-year period, which started in January 2021, the UK has adopted transitional provisions that apply to the importation of medicines into the UK and decision reliance procedures with respect to certain EMA marketing authorization application procedures.</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As of February 24, 2022, we employed 372 full-time employees, of which 295 were engaged in research and development activities, including preclinical, manufacturing and clinical study related functions, and 77 were engaged in general administrative activities, including commercial, corporate development, finance, legal, human resources, information technology, facilities and other general and administrative functions. We have never had a work stoppage, and none of our employees are represented by a labor organization or under any collective bargaining arrangements. We consider our relationship with our employees to be good.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Growth and Retention</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appreciate the importance of retention, growth and development of our employees. We seek and value employees who have substantial experience in the discovery, development, manufacture and commercialization of innovative therapies in a complex regulatory environment. For certain key functions, especially in research and development and manufacturing activities, we require specialized scientific and gene therapy expertise. To attract and retain the talent we require, we believe we offer competitive compensation, including salary, cash incentive awards and equity awards, along with competitive benefits packages, including medical, dental, vision and life insurance, flexible spending accounts, short- and long-term disability and matching contributions to a 401(k) tax-deferred savings plan. All full-time employees are eligible to participate in the same health and welfare and retirement savings plans. Additionally, we provide professional development programs and on-demand learning opportunities to cultivate talent at all levels throughout our company.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believe that a diverse, equitable and inclusive culture fosters innovation, which is integral to our mission of improving lives through the curative potential of gene therapy. We are firmly committed to providing equal opportunity in all aspects of employment and aim for appropriate representation of gender, race and ethnicity at every level of our company. We have emphasized diversity, equity and inclusion as part of our company culture, as set out in our Code of Business Conduct and Ethics, and we are determined to support further progress in this area.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prioritize the health and safety of our employees and have implemented policies to minimize the spread of COVID-19 in our workplace. At various times during the COVID-19 pandemic, we have implemented work-from-home policies for all employees who are not essential to be onsite, as well as policies relating to testing, vaccination, facial coverings, social distancing and contact tracing. Additionally, we have provided employees with resources to help persevere through the pandemic, including work-from-home technology packages and personal protective equipment.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 xml:space="preserve">Our principal offices are located at 9804 Medical Center Drive, Rockville, MD 20850, and our telephone number is (240) 552-8181. Our website address is www.regenxbio.com. </w:t>
      </w:r>
      <w:r>
        <w:rPr>
          <w:rFonts w:ascii="Arial" w:cs="Arial" w:eastAsia="Arial" w:hAnsi="Arial"/>
          <w:sz w:val="16"/>
          <w:szCs w:val="16"/>
          <w:color w:val="191919"/>
        </w:rPr>
        <w:t>The information contained in, or that can be accessed through, our website is not a part of, or incorporated by reference in,</w:t>
      </w:r>
      <w:r>
        <w:rPr>
          <w:rFonts w:ascii="Arial" w:cs="Arial" w:eastAsia="Arial" w:hAnsi="Arial"/>
          <w:sz w:val="16"/>
          <w:szCs w:val="16"/>
          <w:color w:val="auto"/>
        </w:rPr>
        <w:t xml:space="preserve"> </w:t>
      </w:r>
      <w:r>
        <w:rPr>
          <w:rFonts w:ascii="Arial" w:cs="Arial" w:eastAsia="Arial" w:hAnsi="Arial"/>
          <w:sz w:val="16"/>
          <w:szCs w:val="16"/>
          <w:color w:val="191919"/>
        </w:rPr>
        <w:t xml:space="preserve">this Annual Report on Form 10-K. </w:t>
      </w:r>
      <w:r>
        <w:rPr>
          <w:rFonts w:ascii="Arial" w:cs="Arial" w:eastAsia="Arial" w:hAnsi="Arial"/>
          <w:sz w:val="16"/>
          <w:szCs w:val="16"/>
          <w:color w:val="000000"/>
        </w:rPr>
        <w:t>We file annual, quarterly, and current reports, proxy statements, and other documents with the SEC under the Exchange</w:t>
      </w:r>
      <w:r>
        <w:rPr>
          <w:rFonts w:ascii="Arial" w:cs="Arial" w:eastAsia="Arial" w:hAnsi="Arial"/>
          <w:sz w:val="16"/>
          <w:szCs w:val="16"/>
          <w:color w:val="191919"/>
        </w:rPr>
        <w:t xml:space="preserve"> </w:t>
      </w:r>
      <w:r>
        <w:rPr>
          <w:rFonts w:ascii="Arial" w:cs="Arial" w:eastAsia="Arial" w:hAnsi="Arial"/>
          <w:sz w:val="16"/>
          <w:szCs w:val="16"/>
          <w:color w:val="000000"/>
        </w:rPr>
        <w:t>Act. You may obtain any reports, proxy and information statements, and other information that we file electronically with the SEC at www.sec.gov.</w:t>
      </w:r>
    </w:p>
    <w:p>
      <w:pPr>
        <w:spacing w:after="0" w:line="15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You also may view and download copies of our SEC filings free of charge at our website as soon as reasonably practicable after we electronically file such material with, or furnish it to, the SEC. The information contained on, or that can be accessed through, our website will not be deemed to be incorporated by reference in, and is not considered part of, this Annual Report on Form 10-K. Investors should also note that we use our website, as well as SEC filings, press releases, public conference calls and webcasts, to announce financial information and other material developments regarding our business. We use these channels, as well as any social media channels listed on our website, to communicate with investors and members of the public about our business. It is possible that the information that we post on our social media channels could be deemed material information. Therefore, we encourage investors, the media and others interested in our company to review the information that we post on our social media channels.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i w:val="1"/>
          <w:iCs w:val="1"/>
          <w:color w:val="auto"/>
        </w:rPr>
        <w:t>You should carefully consider the risk factors set forth below as well as the other information contained in this Annual Report on Form 10-K and in our other public filings in evaluating our business. Any of the following risks could materially and adversely affect our business, financial condition or results of operations. In addition, these risks could cause actual results and developments to differ materially and adversely from those projected in the forward-looking statements contained in this Annual Report on Form 10-K (please read the Information Regarding Forward-Looking Statements appearing at the beginning of this Form 10-K).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 and you could lose all or part of your investment.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Risks Related to Our NAV Technology Platform and the Development of Our Product Candidates</w:t>
      </w:r>
    </w:p>
    <w:p>
      <w:pPr>
        <w:spacing w:after="0" w:line="11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The COVID-19 pandemic may affect our business, operations and preclinical and clinical development timelines and plans.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It is difficult to predict the time and cost of development and of obtaining regulatory approval for our product candidates.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Our business depends substantially on the success of our lead product candidates.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We have limited clinical results for most of our product candidates.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Regulatory authorities may not consider the endpoints of our clinical trials to provide clinically meaningful results.</w:t>
      </w:r>
    </w:p>
    <w:p>
      <w:pPr>
        <w:spacing w:after="0" w:line="117" w:lineRule="exact"/>
        <w:rPr>
          <w:rFonts w:ascii="Arial" w:cs="Arial" w:eastAsia="Arial" w:hAnsi="Arial"/>
          <w:sz w:val="18"/>
          <w:szCs w:val="18"/>
          <w:color w:val="212529"/>
        </w:rPr>
      </w:pPr>
    </w:p>
    <w:p>
      <w:pPr>
        <w:ind w:left="1000" w:hanging="493"/>
        <w:spacing w:after="0" w:line="277" w:lineRule="auto"/>
        <w:tabs>
          <w:tab w:leader="none" w:pos="10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The results from our preclinical studies or clinical trials for our product candidates may not support as broad a marketing approval as we seek, and we may be required to conduct additional clinical trials or evaluate subjects for a follow-up period.</w:t>
      </w:r>
    </w:p>
    <w:p>
      <w:pPr>
        <w:spacing w:after="0" w:line="62" w:lineRule="exact"/>
        <w:rPr>
          <w:rFonts w:ascii="Arial" w:cs="Arial" w:eastAsia="Arial" w:hAnsi="Arial"/>
          <w:sz w:val="18"/>
          <w:szCs w:val="18"/>
          <w:color w:val="212529"/>
        </w:rPr>
      </w:pPr>
    </w:p>
    <w:p>
      <w:pPr>
        <w:ind w:left="1000" w:right="360" w:hanging="493"/>
        <w:spacing w:after="0" w:line="277" w:lineRule="auto"/>
        <w:tabs>
          <w:tab w:leader="none" w:pos="10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We may encounter substantial delays in our planned clinical trials, or we may fail to demonstrate safety and efficacy to the satisfaction of applicable regulatory authorities.</w:t>
      </w:r>
    </w:p>
    <w:p>
      <w:pPr>
        <w:spacing w:after="0" w:line="62" w:lineRule="exact"/>
        <w:rPr>
          <w:rFonts w:ascii="Arial" w:cs="Arial" w:eastAsia="Arial" w:hAnsi="Arial"/>
          <w:sz w:val="18"/>
          <w:szCs w:val="18"/>
          <w:color w:val="212529"/>
        </w:rPr>
      </w:pPr>
    </w:p>
    <w:p>
      <w:pPr>
        <w:ind w:left="1000" w:right="260" w:hanging="493"/>
        <w:spacing w:after="0" w:line="308" w:lineRule="auto"/>
        <w:tabs>
          <w:tab w:leader="none" w:pos="1000" w:val="left"/>
        </w:tabs>
        <w:numPr>
          <w:ilvl w:val="0"/>
          <w:numId w:val="21"/>
        </w:numPr>
        <w:rPr>
          <w:rFonts w:ascii="Arial" w:cs="Arial" w:eastAsia="Arial" w:hAnsi="Arial"/>
          <w:sz w:val="17"/>
          <w:szCs w:val="17"/>
          <w:color w:val="212529"/>
        </w:rPr>
      </w:pPr>
      <w:r>
        <w:rPr>
          <w:rFonts w:ascii="Arial" w:cs="Arial" w:eastAsia="Arial" w:hAnsi="Arial"/>
          <w:sz w:val="17"/>
          <w:szCs w:val="17"/>
          <w:color w:val="212529"/>
        </w:rPr>
        <w:t>Undesirable side effects may delay or prevent our product candidates and those of our licensees or collaborators from obtaining regulatory approval, limit their commercial potential or result in significant negative consequences following approval.</w:t>
      </w:r>
    </w:p>
    <w:p>
      <w:pPr>
        <w:spacing w:after="0" w:line="38" w:lineRule="exact"/>
        <w:rPr>
          <w:rFonts w:ascii="Arial" w:cs="Arial" w:eastAsia="Arial" w:hAnsi="Arial"/>
          <w:sz w:val="17"/>
          <w:szCs w:val="17"/>
          <w:color w:val="212529"/>
        </w:rPr>
      </w:pPr>
    </w:p>
    <w:p>
      <w:pPr>
        <w:ind w:left="1000" w:hanging="493"/>
        <w:spacing w:after="0"/>
        <w:tabs>
          <w:tab w:leader="none" w:pos="100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We cannot predict when, or if, we will obtain regulatory approval to commercialize a product candidate.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Risks Related to Our Financial Position</w:t>
      </w:r>
    </w:p>
    <w:p>
      <w:pPr>
        <w:spacing w:after="0" w:line="117" w:lineRule="exact"/>
        <w:rPr>
          <w:sz w:val="20"/>
          <w:szCs w:val="20"/>
          <w:color w:val="auto"/>
        </w:rPr>
      </w:pPr>
    </w:p>
    <w:p>
      <w:pPr>
        <w:ind w:left="1000" w:right="60" w:hanging="493"/>
        <w:spacing w:after="0" w:line="277" w:lineRule="auto"/>
        <w:tabs>
          <w:tab w:leader="none" w:pos="100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We face significant competition and there is a possibility that our competitors may achieve regulatory approval before us or develop products that are safer, less expensive or more convenient or effective than ours.</w:t>
      </w:r>
    </w:p>
    <w:p>
      <w:pPr>
        <w:spacing w:after="0" w:line="62" w:lineRule="exact"/>
        <w:rPr>
          <w:rFonts w:ascii="Arial" w:cs="Arial" w:eastAsia="Arial" w:hAnsi="Arial"/>
          <w:sz w:val="18"/>
          <w:szCs w:val="18"/>
          <w:color w:val="212529"/>
        </w:rPr>
      </w:pPr>
    </w:p>
    <w:p>
      <w:pPr>
        <w:ind w:left="1000" w:hanging="493"/>
        <w:spacing w:after="0"/>
        <w:tabs>
          <w:tab w:leader="none" w:pos="100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We expect to normally incur losses for the foreseeable future and may never again achieve or maintain profitability.</w:t>
      </w:r>
    </w:p>
    <w:p>
      <w:pPr>
        <w:spacing w:after="0" w:line="117" w:lineRule="exact"/>
        <w:rPr>
          <w:rFonts w:ascii="Arial" w:cs="Arial" w:eastAsia="Arial" w:hAnsi="Arial"/>
          <w:sz w:val="18"/>
          <w:szCs w:val="18"/>
          <w:color w:val="212529"/>
        </w:rPr>
      </w:pPr>
    </w:p>
    <w:p>
      <w:pPr>
        <w:ind w:left="1000" w:right="720" w:hanging="493"/>
        <w:spacing w:after="0" w:line="277" w:lineRule="auto"/>
        <w:tabs>
          <w:tab w:leader="none" w:pos="100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Failure to obtain additional funding when needed may force us to delay, limit or terminate certain of our licensing activities, product development efforts or other operations.</w:t>
      </w:r>
    </w:p>
    <w:p>
      <w:pPr>
        <w:spacing w:after="0" w:line="62" w:lineRule="exact"/>
        <w:rPr>
          <w:rFonts w:ascii="Arial" w:cs="Arial" w:eastAsia="Arial" w:hAnsi="Arial"/>
          <w:sz w:val="18"/>
          <w:szCs w:val="18"/>
          <w:color w:val="212529"/>
        </w:rPr>
      </w:pPr>
    </w:p>
    <w:p>
      <w:pPr>
        <w:ind w:left="1000" w:hanging="493"/>
        <w:spacing w:after="0"/>
        <w:tabs>
          <w:tab w:leader="none" w:pos="1000" w:val="left"/>
        </w:tabs>
        <w:numPr>
          <w:ilvl w:val="0"/>
          <w:numId w:val="22"/>
        </w:numPr>
        <w:rPr>
          <w:rFonts w:ascii="Arial" w:cs="Arial" w:eastAsia="Arial" w:hAnsi="Arial"/>
          <w:sz w:val="18"/>
          <w:szCs w:val="18"/>
          <w:color w:val="212529"/>
        </w:rPr>
      </w:pPr>
      <w:r>
        <w:rPr>
          <w:rFonts w:ascii="Arial" w:cs="Arial" w:eastAsia="Arial" w:hAnsi="Arial"/>
          <w:sz w:val="18"/>
          <w:szCs w:val="18"/>
          <w:color w:val="212529"/>
        </w:rPr>
        <w:t>We have never generated revenue from sales of our product candidates and may never do so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Risks Related to Third Parties</w:t>
      </w:r>
    </w:p>
    <w:p>
      <w:pPr>
        <w:spacing w:after="0" w:line="11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If third parties do not meet our deadlines, our preclinical and clinical development programs could be delayed or unsuccessful.</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If our licensing arrangements or collaborations are not successful, our business could be harmed.</w:t>
      </w:r>
    </w:p>
    <w:p>
      <w:pPr>
        <w:spacing w:after="0" w:line="117" w:lineRule="exact"/>
        <w:rPr>
          <w:rFonts w:ascii="Arial" w:cs="Arial" w:eastAsia="Arial" w:hAnsi="Arial"/>
          <w:sz w:val="18"/>
          <w:szCs w:val="18"/>
          <w:color w:val="212529"/>
        </w:rPr>
      </w:pPr>
    </w:p>
    <w:p>
      <w:pPr>
        <w:ind w:left="1000" w:right="80" w:hanging="493"/>
        <w:spacing w:after="0" w:line="277" w:lineRule="auto"/>
        <w:tabs>
          <w:tab w:leader="none" w:pos="1000"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Risks Related to Manufacturing</w:t>
      </w:r>
    </w:p>
    <w:p>
      <w:pPr>
        <w:spacing w:after="0" w:line="117"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Products intended for use in gene therapies are novel, complex and difficult to manufacture.</w:t>
      </w:r>
    </w:p>
    <w:p>
      <w:pPr>
        <w:spacing w:after="0" w:line="117" w:lineRule="exact"/>
        <w:rPr>
          <w:rFonts w:ascii="Arial" w:cs="Arial" w:eastAsia="Arial" w:hAnsi="Arial"/>
          <w:sz w:val="18"/>
          <w:szCs w:val="18"/>
          <w:color w:val="212529"/>
        </w:rPr>
      </w:pPr>
    </w:p>
    <w:p>
      <w:pPr>
        <w:ind w:left="1000" w:right="200" w:hanging="493"/>
        <w:spacing w:after="0" w:line="277" w:lineRule="auto"/>
        <w:tabs>
          <w:tab w:leader="none" w:pos="100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Delays in obtaining regulatory approval of our manufacturing process or disruptions in our manufacturing process may delay or disrupt our commercialization efforts.</w:t>
      </w:r>
    </w:p>
    <w:p>
      <w:pPr>
        <w:spacing w:after="0" w:line="62" w:lineRule="exact"/>
        <w:rPr>
          <w:rFonts w:ascii="Arial" w:cs="Arial" w:eastAsia="Arial" w:hAnsi="Arial"/>
          <w:sz w:val="18"/>
          <w:szCs w:val="18"/>
          <w:color w:val="212529"/>
        </w:rPr>
      </w:pPr>
    </w:p>
    <w:p>
      <w:pPr>
        <w:ind w:left="1000" w:hanging="493"/>
        <w:spacing w:after="0"/>
        <w:tabs>
          <w:tab w:leader="none" w:pos="100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Third parties we rely upon to conduct our product manufacturing may not perform satisfactorily.</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We are required to comply with ongoing manufacturing regulatory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Risks Related to the Commercialization of Our Product Candidates</w:t>
      </w:r>
    </w:p>
    <w:p>
      <w:pPr>
        <w:spacing w:after="0" w:line="117" w:lineRule="exact"/>
        <w:rPr>
          <w:sz w:val="20"/>
          <w:szCs w:val="20"/>
          <w:color w:val="auto"/>
        </w:rPr>
      </w:pPr>
    </w:p>
    <w:p>
      <w:pPr>
        <w:ind w:left="1000" w:right="560" w:hanging="493"/>
        <w:spacing w:after="0" w:line="277" w:lineRule="auto"/>
        <w:tabs>
          <w:tab w:leader="none" w:pos="1000" w:val="left"/>
        </w:tabs>
        <w:numPr>
          <w:ilvl w:val="0"/>
          <w:numId w:val="25"/>
        </w:numPr>
        <w:rPr>
          <w:rFonts w:ascii="Arial" w:cs="Arial" w:eastAsia="Arial" w:hAnsi="Arial"/>
          <w:sz w:val="18"/>
          <w:szCs w:val="18"/>
          <w:color w:val="212529"/>
        </w:rPr>
      </w:pPr>
      <w:r>
        <w:rPr>
          <w:rFonts w:ascii="Arial" w:cs="Arial" w:eastAsia="Arial" w:hAnsi="Arial"/>
          <w:sz w:val="18"/>
          <w:szCs w:val="18"/>
          <w:color w:val="212529"/>
        </w:rPr>
        <w:t>If we are unable to establish sales and marketing capabilities or enter into agreements with third parties to market and sell our product candidates, if approved, we may be unable to generate any product revenue.</w:t>
      </w:r>
    </w:p>
    <w:p>
      <w:pPr>
        <w:spacing w:after="0" w:line="62" w:lineRule="exact"/>
        <w:rPr>
          <w:rFonts w:ascii="Arial" w:cs="Arial" w:eastAsia="Arial" w:hAnsi="Arial"/>
          <w:sz w:val="18"/>
          <w:szCs w:val="18"/>
          <w:color w:val="212529"/>
        </w:rPr>
      </w:pPr>
    </w:p>
    <w:p>
      <w:pPr>
        <w:ind w:left="1000" w:hanging="493"/>
        <w:spacing w:after="0"/>
        <w:tabs>
          <w:tab w:leader="none" w:pos="1000" w:val="left"/>
        </w:tabs>
        <w:numPr>
          <w:ilvl w:val="0"/>
          <w:numId w:val="25"/>
        </w:numPr>
        <w:rPr>
          <w:rFonts w:ascii="Arial" w:cs="Arial" w:eastAsia="Arial" w:hAnsi="Arial"/>
          <w:sz w:val="18"/>
          <w:szCs w:val="18"/>
          <w:color w:val="212529"/>
        </w:rPr>
      </w:pPr>
      <w:r>
        <w:rPr>
          <w:rFonts w:ascii="Arial" w:cs="Arial" w:eastAsia="Arial" w:hAnsi="Arial"/>
          <w:sz w:val="18"/>
          <w:szCs w:val="18"/>
          <w:color w:val="212529"/>
        </w:rPr>
        <w:t>We may not achieve our projected development goals in the timeframes we announce and expect.</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5"/>
        </w:numPr>
        <w:rPr>
          <w:rFonts w:ascii="Arial" w:cs="Arial" w:eastAsia="Arial" w:hAnsi="Arial"/>
          <w:sz w:val="18"/>
          <w:szCs w:val="18"/>
          <w:color w:val="212529"/>
        </w:rPr>
      </w:pPr>
      <w:r>
        <w:rPr>
          <w:rFonts w:ascii="Arial" w:cs="Arial" w:eastAsia="Arial" w:hAnsi="Arial"/>
          <w:sz w:val="18"/>
          <w:szCs w:val="18"/>
          <w:color w:val="212529"/>
        </w:rPr>
        <w:t>Even if we receive regulatory approval, we still may not be able to successfully commercialize our product candidates.</w:t>
      </w:r>
    </w:p>
    <w:p>
      <w:pPr>
        <w:spacing w:after="0" w:line="117" w:lineRule="exact"/>
        <w:rPr>
          <w:rFonts w:ascii="Arial" w:cs="Arial" w:eastAsia="Arial" w:hAnsi="Arial"/>
          <w:sz w:val="18"/>
          <w:szCs w:val="18"/>
          <w:color w:val="212529"/>
        </w:rPr>
      </w:pPr>
    </w:p>
    <w:p>
      <w:pPr>
        <w:ind w:left="1000" w:right="80" w:hanging="493"/>
        <w:spacing w:after="0" w:line="277" w:lineRule="auto"/>
        <w:tabs>
          <w:tab w:leader="none" w:pos="1000" w:val="left"/>
        </w:tabs>
        <w:numPr>
          <w:ilvl w:val="0"/>
          <w:numId w:val="25"/>
        </w:numPr>
        <w:rPr>
          <w:rFonts w:ascii="Arial" w:cs="Arial" w:eastAsia="Arial" w:hAnsi="Arial"/>
          <w:sz w:val="18"/>
          <w:szCs w:val="18"/>
          <w:color w:val="212529"/>
        </w:rPr>
      </w:pPr>
      <w:r>
        <w:rPr>
          <w:rFonts w:ascii="Arial" w:cs="Arial" w:eastAsia="Arial" w:hAnsi="Arial"/>
          <w:sz w:val="18"/>
          <w:szCs w:val="18"/>
          <w:color w:val="212529"/>
        </w:rPr>
        <w:t>Failure to obtain or maintain adequate insurance coverage and reimbursement for our products, if approved, could limit our ability to market those products and decrease our ability to generate product revenue.</w:t>
      </w:r>
    </w:p>
    <w:p>
      <w:pPr>
        <w:spacing w:after="0" w:line="62" w:lineRule="exact"/>
        <w:rPr>
          <w:rFonts w:ascii="Arial" w:cs="Arial" w:eastAsia="Arial" w:hAnsi="Arial"/>
          <w:sz w:val="18"/>
          <w:szCs w:val="18"/>
          <w:color w:val="212529"/>
        </w:rPr>
      </w:pPr>
    </w:p>
    <w:p>
      <w:pPr>
        <w:ind w:left="1000" w:hanging="493"/>
        <w:spacing w:after="0"/>
        <w:tabs>
          <w:tab w:leader="none" w:pos="1000" w:val="left"/>
        </w:tabs>
        <w:numPr>
          <w:ilvl w:val="0"/>
          <w:numId w:val="25"/>
        </w:numPr>
        <w:rPr>
          <w:rFonts w:ascii="Arial" w:cs="Arial" w:eastAsia="Arial" w:hAnsi="Arial"/>
          <w:sz w:val="18"/>
          <w:szCs w:val="18"/>
          <w:color w:val="212529"/>
        </w:rPr>
      </w:pPr>
      <w:r>
        <w:rPr>
          <w:rFonts w:ascii="Arial" w:cs="Arial" w:eastAsia="Arial" w:hAnsi="Arial"/>
          <w:sz w:val="18"/>
          <w:szCs w:val="18"/>
          <w:color w:val="212529"/>
        </w:rPr>
        <w:t>Government price controls could restrict the amount that we are able to charge for any of our products, if approved.</w:t>
      </w:r>
    </w:p>
    <w:p>
      <w:pPr>
        <w:spacing w:after="0" w:line="200" w:lineRule="exact"/>
        <w:rPr>
          <w:sz w:val="20"/>
          <w:szCs w:val="20"/>
          <w:color w:val="auto"/>
        </w:rPr>
      </w:pPr>
    </w:p>
    <w:p>
      <w:pPr>
        <w:spacing w:after="0" w:line="241"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212529"/>
        </w:rPr>
      </w:pPr>
      <w:r>
        <w:rPr>
          <w:rFonts w:ascii="Arial" w:cs="Arial" w:eastAsia="Arial" w:hAnsi="Arial"/>
          <w:sz w:val="18"/>
          <w:szCs w:val="18"/>
          <w:color w:val="212529"/>
        </w:rPr>
        <w:t>We may not be successful in our efforts to identify or discover additional product candidates.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6"/>
        </w:numPr>
        <w:rPr>
          <w:rFonts w:ascii="Arial" w:cs="Arial" w:eastAsia="Arial" w:hAnsi="Arial"/>
          <w:sz w:val="18"/>
          <w:szCs w:val="18"/>
          <w:color w:val="212529"/>
        </w:rPr>
      </w:pPr>
      <w:r>
        <w:rPr>
          <w:rFonts w:ascii="Arial" w:cs="Arial" w:eastAsia="Arial" w:hAnsi="Arial"/>
          <w:sz w:val="18"/>
          <w:szCs w:val="18"/>
          <w:color w:val="212529"/>
        </w:rPr>
        <w:t>Our future success depends on our ability to retain key employees, consultants and advisors and to attract qualified personnel.</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6"/>
        </w:numPr>
        <w:rPr>
          <w:rFonts w:ascii="Arial" w:cs="Arial" w:eastAsia="Arial" w:hAnsi="Arial"/>
          <w:sz w:val="18"/>
          <w:szCs w:val="18"/>
          <w:color w:val="212529"/>
        </w:rPr>
      </w:pPr>
      <w:r>
        <w:rPr>
          <w:rFonts w:ascii="Arial" w:cs="Arial" w:eastAsia="Arial" w:hAnsi="Arial"/>
          <w:sz w:val="18"/>
          <w:szCs w:val="18"/>
          <w:color w:val="212529"/>
        </w:rPr>
        <w:t>We may face liability for our conduct and that of our employees, principal investigators, consultants or commercial partners.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6"/>
        </w:numPr>
        <w:rPr>
          <w:rFonts w:ascii="Arial" w:cs="Arial" w:eastAsia="Arial" w:hAnsi="Arial"/>
          <w:sz w:val="18"/>
          <w:szCs w:val="18"/>
          <w:color w:val="212529"/>
        </w:rPr>
      </w:pPr>
      <w:r>
        <w:rPr>
          <w:rFonts w:ascii="Arial" w:cs="Arial" w:eastAsia="Arial" w:hAnsi="Arial"/>
          <w:sz w:val="18"/>
          <w:szCs w:val="18"/>
          <w:color w:val="212529"/>
        </w:rPr>
        <w:t>We may face product liability lawsuits.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6"/>
        </w:numPr>
        <w:rPr>
          <w:rFonts w:ascii="Arial" w:cs="Arial" w:eastAsia="Arial" w:hAnsi="Arial"/>
          <w:sz w:val="18"/>
          <w:szCs w:val="18"/>
          <w:color w:val="212529"/>
        </w:rPr>
      </w:pPr>
      <w:r>
        <w:rPr>
          <w:rFonts w:ascii="Arial" w:cs="Arial" w:eastAsia="Arial" w:hAnsi="Arial"/>
          <w:sz w:val="18"/>
          <w:szCs w:val="18"/>
          <w:color w:val="212529"/>
        </w:rPr>
        <w:t>We could become subject to fines or penalties related to the failure to comply with environmental, health and safety laws.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6"/>
        </w:numPr>
        <w:rPr>
          <w:rFonts w:ascii="Arial" w:cs="Arial" w:eastAsia="Arial" w:hAnsi="Arial"/>
          <w:sz w:val="18"/>
          <w:szCs w:val="18"/>
          <w:color w:val="212529"/>
        </w:rPr>
      </w:pPr>
      <w:r>
        <w:rPr>
          <w:rFonts w:ascii="Arial" w:cs="Arial" w:eastAsia="Arial" w:hAnsi="Arial"/>
          <w:sz w:val="18"/>
          <w:szCs w:val="18"/>
          <w:color w:val="212529"/>
        </w:rPr>
        <w:t>We and our collaborators or other contractors or consultants may suffer cybersecurity breaches.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6"/>
        </w:numPr>
        <w:rPr>
          <w:rFonts w:ascii="Arial" w:cs="Arial" w:eastAsia="Arial" w:hAnsi="Arial"/>
          <w:sz w:val="18"/>
          <w:szCs w:val="18"/>
          <w:color w:val="212529"/>
        </w:rPr>
      </w:pPr>
      <w:r>
        <w:rPr>
          <w:rFonts w:ascii="Arial" w:cs="Arial" w:eastAsia="Arial" w:hAnsi="Arial"/>
          <w:sz w:val="18"/>
          <w:szCs w:val="18"/>
          <w:color w:val="212529"/>
        </w:rPr>
        <w:t>Our customers are concentrated and therefore the loss of a significant customer may harm our business.</w:t>
      </w:r>
    </w:p>
    <w:p>
      <w:pPr>
        <w:spacing w:after="0" w:line="200" w:lineRule="exact"/>
        <w:rPr>
          <w:sz w:val="20"/>
          <w:szCs w:val="20"/>
          <w:color w:val="auto"/>
        </w:rPr>
      </w:pPr>
    </w:p>
    <w:p>
      <w:pPr>
        <w:spacing w:after="0" w:line="241"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Our intellectual property rights may be limited by the terms and conditions of licenses granted to us by others.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We must obtain and maintain patent protection for our products and technology to protect our intellectual property rights.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Our intellectual property licenses with third parties may be subject to disagreements.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We are required to comply with the agreements under which we license intellectual property rights from third parties.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We may not be successful in obtaining necessary rights to our product candidates through acquisitions and in-licenses.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We may not be able to protect our intellectual property rights in the United States and throughout the world.</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Issued patents covering our NAV Technology Platform or our product candidates could be found invalid or unenforceable.</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Third parties may initiate legal proceedings alleging that we are infringing their intellectual property rights.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We may be subject to intellectual property claims.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Changes in U.S. patent law could diminish the value of patents in general, thereby impairing our ability to protect our products.</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We may be unable to obtain patent term extension and data exclusivity for our product candidates.</w:t>
      </w:r>
    </w:p>
    <w:p>
      <w:pPr>
        <w:spacing w:after="0" w:line="200" w:lineRule="exact"/>
        <w:rPr>
          <w:sz w:val="20"/>
          <w:szCs w:val="20"/>
          <w:color w:val="auto"/>
        </w:rPr>
      </w:pPr>
    </w:p>
    <w:p>
      <w:pPr>
        <w:spacing w:after="0" w:line="241"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Our operating results are difficult to predict and could cause the price of our common stock to fluctuate substantially.</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Raising additional capital may cause dilution to our existing stockholders, restrict our operations or require us to relinquish proprietary rights.</w:t>
      </w:r>
    </w:p>
    <w:p>
      <w:pPr>
        <w:spacing w:after="0" w:line="140" w:lineRule="exact"/>
        <w:rPr>
          <w:rFonts w:ascii="Arial" w:cs="Arial" w:eastAsia="Arial" w:hAnsi="Arial"/>
          <w:sz w:val="16"/>
          <w:szCs w:val="16"/>
          <w:color w:val="auto"/>
        </w:rPr>
      </w:pPr>
    </w:p>
    <w:p>
      <w:pPr>
        <w:ind w:left="1000" w:right="1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acquisitions or strategic partnerships may increase our capital requirements, dilute our stockholders, cause us to incur debt or assume contingent liabilities and subject us to other risks.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Provisions in our certificate of incorporation and bylaws might discourage, delay or prevent a change in control.</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Our certificate of incorporation includes exclusive forum clauses for certain litigation.</w:t>
      </w:r>
    </w:p>
    <w:p>
      <w:pPr>
        <w:spacing w:after="0" w:line="117" w:lineRule="exact"/>
        <w:rPr>
          <w:rFonts w:ascii="Arial" w:cs="Arial" w:eastAsia="Arial" w:hAnsi="Arial"/>
          <w:sz w:val="18"/>
          <w:szCs w:val="18"/>
          <w:color w:val="212529"/>
        </w:rPr>
      </w:pPr>
    </w:p>
    <w:p>
      <w:pPr>
        <w:ind w:left="1000" w:hanging="493"/>
        <w:spacing w:after="0"/>
        <w:tabs>
          <w:tab w:leader="none" w:pos="100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Our business could be negatively affected as a result of the actions of activist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NAV Technology Platform and the Development of Our Product Candidates</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 xml:space="preserve">Our business, </w:t>
      </w:r>
      <w:r>
        <w:rPr>
          <w:rFonts w:ascii="Arial" w:cs="Arial" w:eastAsia="Arial" w:hAnsi="Arial"/>
          <w:sz w:val="17"/>
          <w:szCs w:val="17"/>
          <w:b w:val="1"/>
          <w:bCs w:val="1"/>
          <w:i w:val="1"/>
          <w:iCs w:val="1"/>
          <w:color w:val="202528"/>
        </w:rPr>
        <w:t>operations</w:t>
      </w:r>
      <w:r>
        <w:rPr>
          <w:rFonts w:ascii="Arial" w:cs="Arial" w:eastAsia="Arial" w:hAnsi="Arial"/>
          <w:sz w:val="17"/>
          <w:szCs w:val="17"/>
          <w:b w:val="1"/>
          <w:bCs w:val="1"/>
          <w:i w:val="1"/>
          <w:iCs w:val="1"/>
          <w:color w:val="auto"/>
        </w:rPr>
        <w:t xml:space="preserve"> and preclinical and clinical development timelines and plans could be adversely affected by the effects of the COVID-19 pandemic, including further resurgences or multiple waves of infections, and other public health crises.</w:t>
      </w:r>
    </w:p>
    <w:p>
      <w:pPr>
        <w:spacing w:after="0" w:line="38" w:lineRule="exact"/>
        <w:rPr>
          <w:sz w:val="20"/>
          <w:szCs w:val="20"/>
          <w:color w:val="auto"/>
        </w:rPr>
      </w:pPr>
    </w:p>
    <w:p>
      <w:pPr>
        <w:ind w:right="20" w:firstLine="578"/>
        <w:spacing w:after="0" w:line="311" w:lineRule="auto"/>
        <w:rPr>
          <w:sz w:val="20"/>
          <w:szCs w:val="20"/>
          <w:color w:val="auto"/>
        </w:rPr>
      </w:pPr>
      <w:r>
        <w:rPr>
          <w:rFonts w:ascii="Arial" w:cs="Arial" w:eastAsia="Arial" w:hAnsi="Arial"/>
          <w:sz w:val="16"/>
          <w:szCs w:val="16"/>
          <w:color w:val="auto"/>
        </w:rPr>
        <w:t>The COVID-19 pandemic and other public health crises in regions where we have clinical trial sites or other business operations could have a material adverse effect on our business, operations and preclinical and clinical development timelines and plans, and could significantly constrain or disrupt the operations of third parties upon which we rely, including contract research organizations (CROs) and contract manufacturing organizations (CMOs).</w:t>
      </w:r>
    </w:p>
    <w:p>
      <w:pPr>
        <w:spacing w:after="0" w:line="149" w:lineRule="exact"/>
        <w:rPr>
          <w:sz w:val="20"/>
          <w:szCs w:val="20"/>
          <w:color w:val="auto"/>
        </w:rPr>
      </w:pPr>
    </w:p>
    <w:p>
      <w:pPr>
        <w:ind w:right="40" w:firstLine="578"/>
        <w:spacing w:after="0" w:line="289" w:lineRule="auto"/>
        <w:rPr>
          <w:sz w:val="20"/>
          <w:szCs w:val="20"/>
          <w:color w:val="auto"/>
        </w:rPr>
      </w:pPr>
      <w:r>
        <w:rPr>
          <w:rFonts w:ascii="Arial" w:cs="Arial" w:eastAsia="Arial" w:hAnsi="Arial"/>
          <w:sz w:val="16"/>
          <w:szCs w:val="16"/>
          <w:color w:val="auto"/>
        </w:rPr>
        <w:t>In response to the COVID-19 pandemic, federal, state, local and foreign governments have put in place quarantines, executive orders, shelter-in-place orders, guidelines and other similar orders and restrictions intended to control the spread of the disease. Such orders and restrictions have resulted in business closures, work stoppages, delays, work-from-home policies, travel restrictions and cancellations of events, among other effects that could negatively impact productivity and disrupt our business and operations. Our offices, laboratories, clinical trial sites, prospective clinical trial sites, CROs, CMOs and other collaborators and partners are located in jurisdictions where such orders and restrictions have been enforced, and further resurgences or waves of infections may lead to similar orders and restrictions in the future. At various times during the COVID-19 pandemic, we have implemented work-from-home policies for all employees who are not essential to be onsite, as well as policies relating to testing, vaccination, facial coverings, social distancing and contact tracing, and we may take further actions that alter our operations, as may be required by federal, state or local authorities or which we determine are in the best interests of our employees. The increase in remote working may result in increased cybersecurity, privacy and fraud risks.</w:t>
      </w:r>
    </w:p>
    <w:p>
      <w:pPr>
        <w:spacing w:after="0" w:line="166"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The COVID-19 pandemic has caused delays to our clinical trials and may further delay or prevent us from proceeding with our clinical trials. Our clinical trial site initiation and subject enrollment has been delayed, and may be further delayed or suspended, due to site closures, personnel turnover and prioritization of resources toward the COVID-19 pandemic. In addition, some subjects have been, and may continue to be, disinterested in participating in trials with regular follow-up visits during a pandemic, and some subjects have been, and may continue to be, unable or unwilling to comply with clinical trial protocols. Further, some clinical trial vendors have experienced significant delays in providing necessary equipment, supplies and services during the COVID-19 pandemic, and our ability to obtain clinical samples may be adversely affected. Our ability to conduct follow-up visits with treated subjects may be limited if travel or healthcare services are impeded. Similarly, our ability to recruit and retain principal investigators and other clinical trial personnel could be adversely affected.</w:t>
      </w:r>
    </w:p>
    <w:p>
      <w:pPr>
        <w:spacing w:after="0" w:line="192" w:lineRule="exact"/>
        <w:rPr>
          <w:sz w:val="20"/>
          <w:szCs w:val="20"/>
          <w:color w:val="auto"/>
        </w:rPr>
      </w:pPr>
    </w:p>
    <w:p>
      <w:pPr>
        <w:ind w:right="140" w:firstLine="578"/>
        <w:spacing w:after="0" w:line="254" w:lineRule="auto"/>
        <w:rPr>
          <w:sz w:val="20"/>
          <w:szCs w:val="20"/>
          <w:color w:val="auto"/>
        </w:rPr>
      </w:pPr>
      <w:r>
        <w:rPr>
          <w:rFonts w:ascii="Arial" w:cs="Arial" w:eastAsia="Arial" w:hAnsi="Arial"/>
          <w:sz w:val="18"/>
          <w:szCs w:val="18"/>
          <w:color w:val="auto"/>
        </w:rPr>
        <w:t>The COVID-19 pandemic may impact our ability to procure resources, raw materials or components necessary for our research studies and preclinical and clinical development, and prices have escalated due to limited supplies of such resources, raw materials and components. For instance, our supply chain may be disrupted or our CMOs may be required to dedicate their facilities, personnel and resources to support vaccine production. Additionally, required inspections and reviews by regulatory authorities may be delayed due to a focus of resources on COVID-19 as well as continued travel and other restrictions. Significant delays in the timing and completion of our research studies and preclinical and clinical development would increase our costs and could adversely affect our ability to obtain marketing approval from regulatory authorities for the commercialization of our product candidates. Further, meetings with regulatory authorities that would be important in progressing our programs may be delayed or impeded in connection with the COVID-19 pandemic.</w:t>
      </w:r>
    </w:p>
    <w:p>
      <w:pPr>
        <w:spacing w:after="0" w:line="192" w:lineRule="exact"/>
        <w:rPr>
          <w:sz w:val="20"/>
          <w:szCs w:val="20"/>
          <w:color w:val="auto"/>
        </w:rPr>
      </w:pPr>
    </w:p>
    <w:p>
      <w:pPr>
        <w:jc w:val="both"/>
        <w:ind w:right="220" w:firstLine="578"/>
        <w:spacing w:after="0" w:line="286" w:lineRule="auto"/>
        <w:rPr>
          <w:sz w:val="20"/>
          <w:szCs w:val="20"/>
          <w:color w:val="auto"/>
        </w:rPr>
      </w:pPr>
      <w:r>
        <w:rPr>
          <w:rFonts w:ascii="Arial" w:cs="Arial" w:eastAsia="Arial" w:hAnsi="Arial"/>
          <w:sz w:val="17"/>
          <w:szCs w:val="17"/>
          <w:color w:val="auto"/>
        </w:rPr>
        <w:t>The construction of our new headquarters, including our current good manufacturing practice (cGMP) production facility, has been delayed from our original estimates, and may be delayed further, due to various government orders and restrictions relating to the COVID-19 pandemic. The potential impact of any such delay is unpredictable but may include significant additional costs and disruptions to our operations.</w:t>
      </w:r>
    </w:p>
    <w:p>
      <w:pPr>
        <w:spacing w:after="0" w:line="165" w:lineRule="exact"/>
        <w:rPr>
          <w:sz w:val="20"/>
          <w:szCs w:val="20"/>
          <w:color w:val="auto"/>
        </w:rPr>
      </w:pPr>
    </w:p>
    <w:p>
      <w:pPr>
        <w:ind w:right="60" w:firstLine="578"/>
        <w:spacing w:after="0" w:line="296" w:lineRule="auto"/>
        <w:rPr>
          <w:sz w:val="20"/>
          <w:szCs w:val="20"/>
          <w:color w:val="auto"/>
        </w:rPr>
      </w:pPr>
      <w:r>
        <w:rPr>
          <w:rFonts w:ascii="Arial" w:cs="Arial" w:eastAsia="Arial" w:hAnsi="Arial"/>
          <w:sz w:val="16"/>
          <w:szCs w:val="16"/>
          <w:color w:val="auto"/>
        </w:rPr>
        <w:t>The spread of COVID-19 has caused a broad impact globally and may materially affect our business, financial condition and results of operations, as well as continue to increase the volatility and adversely affect the value of our common stock. While the full extent of the economic impact and duration of the COVID-19 pandemic may be difficult to assess or predict, the continuation of prolonged adverse economic conditions (including due to further resurgences or waves of COVID-19 infections) may reduce our ability to access capital and adversely affect our liquidity. In addition, if the business and operations of our licensees or collaborators are adversely affected by the COVID-19 pandemic, our revenues could in turn be adversely affected.</w:t>
      </w:r>
    </w:p>
    <w:p>
      <w:pPr>
        <w:spacing w:after="0" w:line="161" w:lineRule="exact"/>
        <w:rPr>
          <w:sz w:val="20"/>
          <w:szCs w:val="20"/>
          <w:color w:val="auto"/>
        </w:rPr>
      </w:pPr>
    </w:p>
    <w:p>
      <w:pPr>
        <w:ind w:right="40" w:firstLine="578"/>
        <w:spacing w:after="0" w:line="296" w:lineRule="auto"/>
        <w:rPr>
          <w:sz w:val="20"/>
          <w:szCs w:val="20"/>
          <w:color w:val="auto"/>
        </w:rPr>
      </w:pPr>
      <w:r>
        <w:rPr>
          <w:rFonts w:ascii="Arial" w:cs="Arial" w:eastAsia="Arial" w:hAnsi="Arial"/>
          <w:sz w:val="16"/>
          <w:szCs w:val="16"/>
          <w:color w:val="auto"/>
        </w:rPr>
        <w:t>Scientific and economic analyses of the COVID-19 pandemic, including the expected impact of variants, vaccinations and therapeutics, continue to evolve and we will continue to monitor the situation closely. The ultimate impact of the COVID-19 pandemic and other public health crises is highly unpredictable and subject to change. We are not yet certain about the full extent of the potential impact of COVID-19 on our business, operations and preclinical and clinical development. To the extent COVID-19 adversely affects our business, financial condition and results of operations, as well as global economic conditions more generally, it may also heighten many of the other risk factors described in this Annual Report on Form 10-K.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are based on a novel technology that makes it difficult to predict the time and cost of development and of subsequently obtaining regulatory approval. Only a few gene therapy products have been approved in the United States, the European Union or elsewhere.</w:t>
      </w:r>
    </w:p>
    <w:p>
      <w:pPr>
        <w:spacing w:after="0" w:line="76"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We have concentrated our research and development efforts on our proprietary adeno-associated virus (AAV) gene delivery platform (our NAV Technology Platform), and we have granted licenses to certain intellectual property related to our NAV Technology Platform to licensees (our NAV Technology Licensees). Our future success depends on our and our NAV Technology Licensees’ successful development and commercialization of viable gene therapy product candidates. There can be no assurance that we or our NAV Technology Licensees will not experience problems or delays in developing current or future product candidates or that such problems or delays will not cause unanticipated costs, or that any such development problems can be solved. We also may experience unanticipated problems or delays in expanding our manufacturing capacity, and this may prevent us from completing our clinical trials, meeting the obligations of our collaborations or commercializing our products on a timely or profitable basis, if at all. For example, we, a partner or another group may uncover one or more previously unknown risks associated with AAV or our NAV Technology Platform, and this may prolong the period of observation required for obtaining regulatory approval, necessitate additional clinical testing or invalidate our NAV Technology.</w:t>
      </w:r>
    </w:p>
    <w:p>
      <w:pPr>
        <w:spacing w:after="0" w:line="194"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 xml:space="preserve">In addition, the clinical trial requirements of the U.S. Food and Drug Administration (the FDA), the European Medicines Agency (the EMA) and other regulatory authorities and the criteria these regulators use to determine the quality, safety and efficacy of a product candidate vary substantially according to the type, complexity, novelty and intended use and market of such product candidates. The regulatory approval process for novel product candidates such as ours can be significantly more expensive and take longer than for other, better known or more extensively studied product candidates. Only a few gene therapy products have been approved in the United States, the European Union or elsewhere. It is difficult to determine how long it will take or how much it will cost to obtain regulatory approvals for our product candidates in the United States, the European Union or elsewhere, or how long it will take to commercialize our product candidates. Furthermore, approvals by one regulatory authority may not be indicative of what other regulatory authorities may require for approval, and approvals of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products may not be indicative of what may be required for approval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 products.</w:t>
      </w:r>
    </w:p>
    <w:p>
      <w:pPr>
        <w:spacing w:after="0" w:line="18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Additionally, we may seek regulatory approval in territories outside the United States and the European Union, which may have their own regulatory authorities along with frequently changing requirements or guidelines. The regulatory review committees and advisory groups in the United States, the European Union and elsewhere,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product revenue, and our business, financial condition, results of operations and prospects would be materially harmed.</w:t>
      </w: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12529"/>
        </w:rPr>
        <w:t xml:space="preserve">Our business depends substantially on the success of our lead product candidates. If we are unable to obtain regulatory approval for, or successfully </w:t>
      </w:r>
      <w:r>
        <w:rPr>
          <w:rFonts w:ascii="Arial" w:cs="Arial" w:eastAsia="Arial" w:hAnsi="Arial"/>
          <w:sz w:val="18"/>
          <w:szCs w:val="18"/>
          <w:b w:val="1"/>
          <w:bCs w:val="1"/>
          <w:i w:val="1"/>
          <w:iCs w:val="1"/>
          <w:color w:val="000000"/>
        </w:rPr>
        <w:t>commercialize</w:t>
      </w:r>
      <w:r>
        <w:rPr>
          <w:rFonts w:ascii="Arial" w:cs="Arial" w:eastAsia="Arial" w:hAnsi="Arial"/>
          <w:sz w:val="18"/>
          <w:szCs w:val="18"/>
          <w:b w:val="1"/>
          <w:bCs w:val="1"/>
          <w:i w:val="1"/>
          <w:iCs w:val="1"/>
          <w:color w:val="212529"/>
        </w:rPr>
        <w:t>, our lead product candidates, our business will be materially harmed.</w:t>
      </w:r>
    </w:p>
    <w:p>
      <w:pPr>
        <w:spacing w:after="0" w:line="6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212529"/>
        </w:rPr>
        <w:t>Several of our lead product candidates are in the early stages of development and all of our lead product candidates will require substantial clinical development and testing, manufacturing bridging studies and process validation and regulatory approval prior to commercialization. Successful continued development and ultimate regulatory approval of our lead product candidates is critical for our future business success and our ability to generate product revenue. We have invested, and will continue to invest, a significant portion of our financial resources in the development of our lead product candidates. We will need to raise sufficient funds for, and successfully complete, our clinical trials of our lead product candidates in appropriate subjects. The future regulatory and commercial success of these product candidates is subject to a number of risks, including the following:</w:t>
      </w:r>
    </w:p>
    <w:p>
      <w:pPr>
        <w:spacing w:after="0" w:line="56" w:lineRule="exact"/>
        <w:rPr>
          <w:sz w:val="20"/>
          <w:szCs w:val="20"/>
          <w:color w:val="auto"/>
        </w:rPr>
      </w:pPr>
    </w:p>
    <w:p>
      <w:pPr>
        <w:ind w:left="1000" w:right="1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we may not have sufficient financial and other resources or patient availability to complete the necessary clinical trials for our lead product candidates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we may not be able to provide evidence of quality, efficacy and safety for our lead product candidates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we do not know the degree to which our lead product candidates will be accepted by patients, the medical community and third-party payors as a therapy for the respective diseases to which they relate, even if approved</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the results of our clinical trials may not meet the level of statistical or clinical significance required by the FDA, EMA or comparable foreign regulatory bodies for marketing approval, and modifications to the design of our clinical trials could delay their enrollment, commencement or completion</w:t>
      </w:r>
      <w:r>
        <w:rPr>
          <w:rFonts w:ascii="Arial" w:cs="Arial" w:eastAsia="Arial" w:hAnsi="Arial"/>
          <w:sz w:val="18"/>
          <w:szCs w:val="18"/>
          <w:color w:val="000000"/>
        </w:rPr>
        <w: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212529"/>
        </w:rPr>
        <w:t>subjects in our clinical trials may die or suffer other adverse effects for reasons that may or may not be related to our lead product candidates</w:t>
      </w:r>
      <w:r>
        <w:rPr>
          <w:rFonts w:ascii="Arial" w:cs="Arial" w:eastAsia="Arial" w:hAnsi="Arial"/>
          <w:sz w:val="16"/>
          <w:szCs w:val="16"/>
          <w:color w:val="000000"/>
        </w:rPr>
        <w:t>;</w:t>
      </w:r>
    </w:p>
    <w:p>
      <w:pPr>
        <w:spacing w:after="0" w:line="140"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subjects in clinical trials undertaken by our licensees or collaborators, or undertaken by others using AAV, may die or suffer other adverse effects for reasons that may or may not be related to our NAV Technology Platform or AAV</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certain patients’ immune systems might prohibit the successful delivery of certain gene therapy products to the target tissue, thereby limiting the treatment outcomes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we may not successfully establish commercial manufacturing capabilities;</w:t>
      </w:r>
    </w:p>
    <w:p>
      <w:pPr>
        <w:spacing w:after="0" w:line="117" w:lineRule="exact"/>
        <w:rPr>
          <w:rFonts w:ascii="Arial" w:cs="Arial" w:eastAsia="Arial" w:hAnsi="Arial"/>
          <w:sz w:val="18"/>
          <w:szCs w:val="18"/>
          <w:color w:val="auto"/>
        </w:rPr>
      </w:pPr>
    </w:p>
    <w:p>
      <w:pPr>
        <w:jc w:val="both"/>
        <w:ind w:left="1000" w:right="26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212529"/>
        </w:rPr>
        <w:t>if approved for treatment of the expected conditions, our lead product candidates will likely compete with other treatments then available, including the off-label use of products already approved for marketing and other therapies currently available or which may be developed</w:t>
      </w:r>
      <w:r>
        <w:rPr>
          <w:rFonts w:ascii="Arial" w:cs="Arial" w:eastAsia="Arial" w:hAnsi="Arial"/>
          <w:sz w:val="16"/>
          <w:szCs w:val="16"/>
          <w:color w:val="000000"/>
        </w:rPr>
        <w:t>;</w:t>
      </w:r>
    </w:p>
    <w:p>
      <w:pPr>
        <w:spacing w:after="0" w:line="15" w:lineRule="exact"/>
        <w:rPr>
          <w:rFonts w:ascii="Arial" w:cs="Arial" w:eastAsia="Arial" w:hAnsi="Arial"/>
          <w:sz w:val="16"/>
          <w:szCs w:val="16"/>
          <w:color w:val="auto"/>
        </w:rPr>
      </w:pPr>
    </w:p>
    <w:p>
      <w:pPr>
        <w:ind w:left="1000" w:right="3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our products and products developed by our licensees and collaborators may not maintain a continued acceptable safety profile following regulatory approval</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we may not maintain compliance with post-approval regulation and other requirements</w:t>
      </w:r>
      <w:r>
        <w:rPr>
          <w:rFonts w:ascii="Arial" w:cs="Arial" w:eastAsia="Arial" w:hAnsi="Arial"/>
          <w:sz w:val="18"/>
          <w:szCs w:val="18"/>
          <w:color w:val="000000"/>
        </w:rPr>
        <w: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we may not be able to obtain, maintain or enforce our rights under our licensed patents and other intellectual property rights</w:t>
      </w:r>
      <w:r>
        <w:rPr>
          <w:rFonts w:ascii="Arial" w:cs="Arial" w:eastAsia="Arial" w:hAnsi="Arial"/>
          <w:sz w:val="18"/>
          <w:szCs w:val="18"/>
          <w:color w:val="000000"/>
        </w:rPr>
        <w:t>.</w:t>
      </w:r>
    </w:p>
    <w:p>
      <w:pPr>
        <w:spacing w:after="0" w:line="225"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212529"/>
        </w:rPr>
        <w:t xml:space="preserve">Of the large number of biologics and drugs in development in the biopharmaceutical industry, only a small percentage result in the submission of a Biologics License Application (BLA) to the FDA or marketing authorization application (MAA) to the EMA and even fewer are approved for commercialization. Due to several of the risk factors identified in this Annual Report on Form 10-K, we may not achieve our goal to </w:t>
      </w:r>
      <w:r>
        <w:rPr>
          <w:rFonts w:ascii="Arial" w:cs="Arial" w:eastAsia="Arial" w:hAnsi="Arial"/>
          <w:sz w:val="17"/>
          <w:szCs w:val="17"/>
          <w:color w:val="000000"/>
        </w:rPr>
        <w:t>have multiple AAV</w:t>
      </w:r>
      <w:r>
        <w:rPr>
          <w:rFonts w:ascii="Arial" w:cs="Arial" w:eastAsia="Arial" w:hAnsi="Arial"/>
          <w:sz w:val="17"/>
          <w:szCs w:val="17"/>
          <w:color w:val="212529"/>
        </w:rPr>
        <w:t xml:space="preserve"> </w:t>
      </w:r>
      <w:r>
        <w:rPr>
          <w:rFonts w:ascii="Arial" w:cs="Arial" w:eastAsia="Arial" w:hAnsi="Arial"/>
          <w:sz w:val="17"/>
          <w:szCs w:val="17"/>
          <w:color w:val="000000"/>
        </w:rPr>
        <w:t xml:space="preserve">vector-based gene therapies that are approved or in pivotal trials through our internal and partnered programs by the end of 2025. </w:t>
      </w:r>
      <w:r>
        <w:rPr>
          <w:rFonts w:ascii="Arial" w:cs="Arial" w:eastAsia="Arial" w:hAnsi="Arial"/>
          <w:sz w:val="17"/>
          <w:szCs w:val="17"/>
          <w:color w:val="212529"/>
        </w:rPr>
        <w:t>Furthermore, even if we</w:t>
      </w:r>
      <w:r>
        <w:rPr>
          <w:rFonts w:ascii="Arial" w:cs="Arial" w:eastAsia="Arial" w:hAnsi="Arial"/>
          <w:sz w:val="17"/>
          <w:szCs w:val="17"/>
          <w:color w:val="000000"/>
        </w:rPr>
        <w:t xml:space="preserve"> </w:t>
      </w:r>
      <w:r>
        <w:rPr>
          <w:rFonts w:ascii="Arial" w:cs="Arial" w:eastAsia="Arial" w:hAnsi="Arial"/>
          <w:sz w:val="17"/>
          <w:szCs w:val="17"/>
          <w:color w:val="212529"/>
        </w:rPr>
        <w:t>do receive regulatory approval to market our lead product candidates, any such approval may be subject to limitations on the indicated uses for which we may market the product. Accordingly, even if we are able to obtain the requisite financing to continue to fund our development programs, we cannot assure you that our lead product candidates will be successfully developed or commercialized. If we or any of our future development partners are unable to develop, or obtain regulatory approval for, or, if approved, successfully commercialize, our lead product candidates, we may not be able to generate sufficient revenue to continue our business.</w:t>
      </w: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limited clinical results for most of our product candidates and success in preclinical studies or early clinical trials may not be indicative of results obtained in later trials.</w:t>
      </w:r>
    </w:p>
    <w:p>
      <w:pPr>
        <w:spacing w:after="0" w:line="6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Gene therapy development has inherent risks. Most of our lead product candidates have limited clinical and preclinical results and we may experience unexpected results in the future. We or any of our future development partners will be required to demonstrate through adequate and well-controlled clinical trials that our product candidates containing our proprietary vectors are safe and effective, with a favorable benefit-risk profile, for use in their target indications before we can seek regulatory approvals for their commercial sale. Drug development is a long, expensive and uncertain process, and delay or failure can occur at any stage of development, including after commencement of any of our clinical trials.</w:t>
      </w:r>
    </w:p>
    <w:p>
      <w:pPr>
        <w:spacing w:after="0" w:line="176"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results of preclinical studies and early clinical trials are not always predictive of future results. Any product candidate we or any of our future development partners advance into clinical trials, including our lead product candidates, may not have favorable results in later clinical trials, if any, or receive regulatory approval. There is a high failure rate for drugs and biologic products proceeding through clinical trials. Data obtained from preclinical and clinical activities are subject to varying interpretations that may delay, limit or prevent regulatory approval. In addition, we may experience regulatory delays or rejections as a result of many factors, including due to changes in regulatory policy during the period of our product candidate development. Any such delays could materially harm our business, financial condition, results of operations and prospects.</w:t>
      </w:r>
    </w:p>
    <w:p>
      <w:pPr>
        <w:spacing w:after="0" w:line="28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b w:val="1"/>
          <w:bCs w:val="1"/>
          <w:i w:val="1"/>
          <w:iCs w:val="1"/>
          <w:color w:val="auto"/>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w:t>
      </w:r>
    </w:p>
    <w:p>
      <w:pPr>
        <w:spacing w:after="0" w:line="5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there is heightened risk that the FDA, the EMA or other regulatory bodies may not consider the clinical trial endpoints to provide clinically meaningful results (reflecting a tangible benefit to patients). In addition, the resulting clinical data and results may be difficult to analyze. Even if the FDA does find our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success criteria to be sufficiently validated and clinically meaningful, we may not achieve the pre-specified endpoints to a degree of statistical significance.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The EMA and other regulatory authorities in the European Union and other countries may make similar comments with respect to these endpoints and data.</w:t>
      </w:r>
    </w:p>
    <w:p>
      <w:pPr>
        <w:spacing w:after="0" w:line="29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results from our preclinical studies or clinical trials for our product candidates may not support as broad a marketing approval as we seek, and the FDA, the EMA or other regulatory authorities may require us to conduct additional clinical trials or evaluate subjects for an additional follow-up period.</w:t>
      </w:r>
    </w:p>
    <w:p>
      <w:pPr>
        <w:spacing w:after="0" w:line="7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While we believe our product candidates should be applicable for the treatment of patients with certain conditions, the results from our preclinical and planned clinical trials may not support as broad of a marketing approval as we seek. Even if we obtain regulatory approval for our product candidates, we may be required by the FDA, the EMA or other regulatory bodies to conduct additional clinical trials to support approval of our product candidates for patients diagnosed with different mutations of the respective diseases to which our product candidates relate. This could result in our experiencing significant increases in costs and substantial delays in obtaining, or never obtaining, marketing approval for our product candidates to treat patients. The inability to market our product candidates to treat patients for the intended indications would materially harm our business, financial condition, results of operations and prospects.</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212529"/>
        </w:rPr>
        <w:t>We may encounter substantial delays in our planned clinical trials, or we may fail to demonstrate safety and efficacy to the satisfaction of applicable regulatory authorities.</w:t>
      </w:r>
    </w:p>
    <w:p>
      <w:pPr>
        <w:spacing w:after="0" w:line="62"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212529"/>
        </w:rPr>
        <w:t xml:space="preserve">Before obtaining marketing </w:t>
      </w:r>
      <w:r>
        <w:rPr>
          <w:rFonts w:ascii="Arial" w:cs="Arial" w:eastAsia="Arial" w:hAnsi="Arial"/>
          <w:sz w:val="18"/>
          <w:szCs w:val="18"/>
          <w:color w:val="000000"/>
        </w:rPr>
        <w:t>approval</w:t>
      </w:r>
      <w:r>
        <w:rPr>
          <w:rFonts w:ascii="Arial" w:cs="Arial" w:eastAsia="Arial" w:hAnsi="Arial"/>
          <w:sz w:val="18"/>
          <w:szCs w:val="18"/>
          <w:color w:val="212529"/>
        </w:rPr>
        <w:t xml:space="preserve"> from regulatory authorities for the sale of our product candidates, we must conduct extensive clinical </w:t>
      </w:r>
      <w:r>
        <w:rPr>
          <w:rFonts w:ascii="Arial" w:cs="Arial" w:eastAsia="Arial" w:hAnsi="Arial"/>
          <w:sz w:val="18"/>
          <w:szCs w:val="18"/>
          <w:color w:val="000000"/>
        </w:rPr>
        <w:t>trials</w:t>
      </w:r>
      <w:r>
        <w:rPr>
          <w:rFonts w:ascii="Arial" w:cs="Arial" w:eastAsia="Arial" w:hAnsi="Arial"/>
          <w:sz w:val="18"/>
          <w:szCs w:val="18"/>
          <w:color w:val="212529"/>
        </w:rPr>
        <w:t xml:space="preserve"> to demonstrate the safety and efficacy of the product candidates. Clinical testing is expensive, time-consuming and uncertain as to outcome. A failure of one or more clinical trials can occur at any stage of testing. Events that may prevent successful or timely commencement and completion of preclinical and clinical development include:</w:t>
      </w:r>
    </w:p>
    <w:p>
      <w:pPr>
        <w:spacing w:after="0" w:line="79"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institutional review board or independent Ethics Committee approval at each clinical trial site;</w:t>
      </w:r>
    </w:p>
    <w:p>
      <w:pPr>
        <w:spacing w:after="0" w:line="62" w:lineRule="exact"/>
        <w:rPr>
          <w:rFonts w:ascii="Arial" w:cs="Arial" w:eastAsia="Arial" w:hAnsi="Arial"/>
          <w:sz w:val="18"/>
          <w:szCs w:val="18"/>
          <w:color w:val="auto"/>
        </w:rPr>
      </w:pPr>
    </w:p>
    <w:p>
      <w:pPr>
        <w:ind w:left="1000" w:hanging="493"/>
        <w:spacing w:after="0" w:line="275"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delays in recruiting and enrolling suitable subjects to participate in our clinical trials, due to factors such as the size of the subject population, process for identifying subjects, design of protocols, eligibility and exclusive criteria, perceived risks and benefits of the relevant product candidate or gene therapy generally, availability of competing therapies and trials, severity of the disease under investigation, need and length of time required to discontinue other potential therapies, availability of genetic testing, availability and proximity of trial sites for prospective subjects, ability to obtain subject consent and referral practices of physicians;</w:t>
      </w:r>
    </w:p>
    <w:p>
      <w:pPr>
        <w:spacing w:after="0" w:line="68" w:lineRule="exact"/>
        <w:rPr>
          <w:rFonts w:ascii="Arial" w:cs="Arial" w:eastAsia="Arial" w:hAnsi="Arial"/>
          <w:sz w:val="17"/>
          <w:szCs w:val="17"/>
          <w:color w:val="auto"/>
        </w:rPr>
      </w:pPr>
    </w:p>
    <w:p>
      <w:pPr>
        <w:ind w:left="1000" w:right="2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including as a result of a serious adverse event or after an inspection of our clinical trial operations or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perform in accordance with the FDA good clinical practice (GCP), or applicable regulatory guidelines in the European Union and other countries;</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including delays by third parties with whom we have contracted to perform;</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post-treatment follow-up;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 sites or subjects dropping out of a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212529"/>
        </w:rPr>
        <w:t xml:space="preserve">Any inability to successfully complete research studies, preclinical and clinical development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w:t>
      </w:r>
      <w:r>
        <w:rPr>
          <w:rFonts w:ascii="Arial" w:cs="Arial" w:eastAsia="Arial" w:hAnsi="Arial"/>
          <w:sz w:val="18"/>
          <w:szCs w:val="18"/>
          <w:color w:val="000000"/>
        </w:rPr>
        <w:t>product</w:t>
      </w:r>
      <w:r>
        <w:rPr>
          <w:rFonts w:ascii="Arial" w:cs="Arial" w:eastAsia="Arial" w:hAnsi="Arial"/>
          <w:sz w:val="18"/>
          <w:szCs w:val="18"/>
          <w:color w:val="212529"/>
        </w:rPr>
        <w:t xml:space="preserve">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212529"/>
        </w:rPr>
        <w:t>Additionally, if the results of our planned clinical trials are inconclusive or if there are safety concerns or serious adverse events associated with our product candidates, we may:</w:t>
      </w:r>
    </w:p>
    <w:p>
      <w:pPr>
        <w:spacing w:after="0" w:line="62"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 required to perform additional clinical trials to support approval or be subject to additional post-marketing testing or other requirements;</w:t>
      </w:r>
    </w:p>
    <w:p>
      <w:pPr>
        <w:spacing w:after="0" w:line="140" w:lineRule="exact"/>
        <w:rPr>
          <w:rFonts w:ascii="Arial" w:cs="Arial" w:eastAsia="Arial" w:hAnsi="Arial"/>
          <w:sz w:val="16"/>
          <w:szCs w:val="16"/>
          <w:color w:val="auto"/>
        </w:rPr>
      </w:pPr>
    </w:p>
    <w:p>
      <w:pPr>
        <w:ind w:left="1000" w:right="1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regulatory authorities withdraw, vary or suspend their approval of the product or impose restrictions on its distribution in the form of a modified risk evaluation and mitigation;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333"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b w:val="1"/>
          <w:bCs w:val="1"/>
          <w:i w:val="1"/>
          <w:iCs w:val="1"/>
          <w:color w:val="auto"/>
        </w:rPr>
        <w:t>Our NAV Technology Platform, our product candidates or our licensees’ or collaborators’ product candidates, and the process for administering such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4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reported cases of leukemia in trials using lentivirus vectors and death seen in trials sponsored by other companies using adenovirus vectors and AAV vectors, including NAV vectors.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Possible adverse side effects that could occur with treatment with gene therapy products include an immunologic reaction early after administration which could substantially limit the effectiveness of the treatment. In previous clinical trials involving AAV vectors for gene therapy, some subjects experienced the development of a T-cell response, whereby after the vector is within the target cell, the cellular immune response system triggers the removal of transduced cells by activated T-cells. Furthermore, in clinical trials sponsored by other companies involving AAV vectors administered intravitreally for the treatment of retinal conditions, serious adverse reactions such as panuveitis and loss of vision have occurred. In addition to side effects caused by product candidates, the administration process or related procedures also can cause adverse side effects. If any such adverse events occur in our or third party trials, our clinical trials could be suspended or terminated.</w:t>
      </w:r>
    </w:p>
    <w:p>
      <w:pPr>
        <w:spacing w:after="0" w:line="17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As a result of these concerns, we may decide, or the FDA, the European Commission, the EMA or other regulatory authorities could order us, to halt, delay or amend preclinical development or clinical development of our product candidates or we may be unable to receive regulatory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Additionally, if any of our product candidates receives marketing approval, the FDA could require us to adopt a Risk Evaluation and Mitigation Strategy (REMS) and other regulatory authorities could impose other specific obligations as a condition of approval to ensure that the benefits of our product candidates outweigh their risks, which could delay approval of our product candidates. A REMS may include, among other things, a medication guide outlining the risks of the product for distribution to patients; a communication plan to health care practitioners or patients; and elements to assure safe use, which can severely restrict the distribution of a product by, for example, requiring that health care providers receive particular training and obtain special certification prior to prescribing and dispensing the product, limiting the healthcare settings in which the product may be dispensed, and subjecting patients to monitoring and enrollment in a registry. If the FDA requires us to adopt a REMS for our products and we are unable to comply with its requirements, the FDA may deem our products to be misbranded and we may be subject to civil money penalties. The European Commission, the EMA and other regulatory authorities may, following grant of marketing authorization in their territory, impose similar obligations.</w:t>
      </w:r>
    </w:p>
    <w:p>
      <w:pPr>
        <w:spacing w:after="0" w:line="16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NAV Technology Platform and our product candidates and could materially harm our business, prospects, financial condition and results of operations.</w:t>
      </w:r>
    </w:p>
    <w:p>
      <w:pPr>
        <w:spacing w:after="0" w:line="278" w:lineRule="exact"/>
        <w:rPr>
          <w:sz w:val="20"/>
          <w:szCs w:val="20"/>
          <w:color w:val="auto"/>
        </w:rPr>
      </w:pPr>
    </w:p>
    <w:p>
      <w:pPr>
        <w:ind w:right="920"/>
        <w:spacing w:after="0" w:line="375" w:lineRule="auto"/>
        <w:rPr>
          <w:sz w:val="20"/>
          <w:szCs w:val="20"/>
          <w:color w:val="auto"/>
        </w:rPr>
      </w:pPr>
      <w:r>
        <w:rPr>
          <w:rFonts w:ascii="Arial" w:cs="Arial" w:eastAsia="Arial" w:hAnsi="Arial"/>
          <w:sz w:val="15"/>
          <w:szCs w:val="15"/>
          <w:b w:val="1"/>
          <w:bCs w:val="1"/>
          <w:i w:val="1"/>
          <w:iCs w:val="1"/>
          <w:color w:val="auto"/>
        </w:rPr>
        <w:t>Even if we complete the necessary preclinical studies and clinical trials, we cannot predict when, or if, we will obtain regulatory approval to commercialize a product candidate in the United States or elsewhere, and the approval may be for a narrower indication than we seek.</w:t>
      </w:r>
    </w:p>
    <w:p>
      <w:pPr>
        <w:spacing w:after="0" w:line="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on additional government regulation from future legislation or administrative action or based on changes in regulatory authority policy during the period of product development, clinical trials and the review process.</w:t>
      </w:r>
    </w:p>
    <w:p>
      <w:pPr>
        <w:spacing w:after="0" w:line="19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Regulatory authorities also may approve a product candidate for more limited indications than requested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19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 xml:space="preserve">Further, the regulatory authorities may require concurrent approval or the CE mark (a mandatory conformity assessment marking for certain products sold within the European Economic Area (the EEA)) of a companion diagnostic device, since it may be necessary to use FDA-cleared or FDA-approved, or CE-marked, diagnostic tests or diagnostic tests approved by other comparable foreign regulatory authorities to diagnose patients or to assure the safe and effective use of our product candidates in trial subjects. FDA refers to such tests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devices. The FDA has articulated a policy position that, when safe and effective use of a therapeutic product depends on a diagnostic device, the FDA generally will require approval or clearance of the companion diagnostic device at the same time that FDA approves the therapeutic product. The FDA’s guidance allows for two exceptions to the general rule of concurrent drug/device approval, namely, when the therapeutic product is intended to treat serious and life-threatening conditions for which no alternative exists, and when a serious safety issue arises for an approved therapeutic agent, and no FDA-cleared or FDA-approved companion diagnostic test is yet available. It is unclear how the FDA will apply this policy to our current or future gene therapy product candidates. Should the FDA deem genetic tests used for diagnosing patients for our therapies to be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requiring FDA clearance or approval, we may face significant delays or obstacles in obtaining approval of a BLA for our product candidates.</w:t>
      </w:r>
    </w:p>
    <w:p>
      <w:pPr>
        <w:spacing w:after="0" w:line="172"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 xml:space="preserve">In the European Union, companion diagnostics are subject to the European Union Directive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medical devices and its implementation in the European Union Member States. Recently revised European Union laws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will apply beginning in 2022 and provide stricter requirements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medical devices and impose additional obligations on manufacturers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medical devices that may impact the development and authorization of our product candidates in the European Union. For example, the new regulation extends the requirement for performance assessment procedures and requires greater involvement of notified bodies in the development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medical devices. This may result in additional regulatory and premarket requirements to market new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medical devices. Companies producing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diagnostic medical devices will be required to have a responsible person to oversee regulatory compliance. In addition, the new regulation introduces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risk classification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medical devices and significantly increases the number of products that will be subject to stricter regulation. It also introduces the requirement to involve a notified body in the conformity assessment procedure.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by the European Commission in the European Union. However, obtaining such approval from the European Commission following the opinion of EMA is a lengthy and expensive process. Additionally, the approval procedures in the United Kingdom (UK) for our product candidates may be uncertain following the UK’s exit from the European Union.</w:t>
      </w:r>
    </w:p>
    <w:p>
      <w:pPr>
        <w:spacing w:after="0" w:line="17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2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products that are safer, less expensive or more convenient or effective than ours, which may harm our financial condition and our ability to successfully market or commercialize our product candidates.</w:t>
      </w:r>
    </w:p>
    <w:p>
      <w:pPr>
        <w:spacing w:after="0" w:line="76"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4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are aware of a number of companies focused on developing gene therapies in various indications, as well as a number of companies addressing other methods for modifying genes and regulating gene expression. Any advances in gene therapy technology made by a competitor may be used to develop therapies that could compete against any of our product candidates.</w:t>
      </w:r>
    </w:p>
    <w:p>
      <w:pPr>
        <w:spacing w:after="0" w:line="184"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those of competitors. The availability of our competitors’ products could limit the demand, and the price we are able to charge, for any products that we may develop and commercialize.</w:t>
      </w:r>
    </w:p>
    <w:p>
      <w:pPr>
        <w:spacing w:after="0" w:line="166"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Even though we have obtained orphan drug exclusivity for certain product candidates, that exclusivity may not effectively protect the product candidate from competition because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63" w:lineRule="exact"/>
        <w:rPr>
          <w:sz w:val="20"/>
          <w:szCs w:val="20"/>
          <w:color w:val="auto"/>
        </w:rPr>
      </w:pPr>
    </w:p>
    <w:p>
      <w:pPr>
        <w:ind w:left="1000" w:right="4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 w:right="8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12529"/>
        </w:rPr>
        <w:t>We have incurred cumulative net losses and have had few profitable quarters since inception. We expect to regularly incur losses and may never again achieve or maintain profitability.</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212529"/>
        </w:rPr>
        <w:t>Since inception, we have incurred cumulative net losses. We have historically financed our operations primarily through private and public offerings of our equity securities and licensing rights to our NAV Technology Platform, including milestone payments and royalties from our NAV Technology Licensees. We have devoted substantially all of our efforts to research and development, including preclinical and clinical development of our</w:t>
      </w:r>
    </w:p>
    <w:p>
      <w:pPr>
        <w:spacing w:after="0" w:line="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212529"/>
        </w:rPr>
        <w:t xml:space="preserve">product </w:t>
      </w:r>
      <w:r>
        <w:rPr>
          <w:rFonts w:ascii="Arial" w:cs="Arial" w:eastAsia="Arial" w:hAnsi="Arial"/>
          <w:sz w:val="16"/>
          <w:szCs w:val="16"/>
          <w:color w:val="000000"/>
        </w:rPr>
        <w:t>candidates,</w:t>
      </w:r>
      <w:r>
        <w:rPr>
          <w:rFonts w:ascii="Arial" w:cs="Arial" w:eastAsia="Arial" w:hAnsi="Arial"/>
          <w:sz w:val="16"/>
          <w:szCs w:val="16"/>
          <w:color w:val="212529"/>
        </w:rPr>
        <w:t xml:space="preserve"> and licensing our NAV Technology Platform, as well as to building out our team. We expect that it could be several years, if ever, before we commercialize a </w:t>
      </w:r>
      <w:r>
        <w:rPr>
          <w:rFonts w:ascii="Arial" w:cs="Arial" w:eastAsia="Arial" w:hAnsi="Arial"/>
          <w:sz w:val="16"/>
          <w:szCs w:val="16"/>
          <w:color w:val="000000"/>
        </w:rPr>
        <w:t>product</w:t>
      </w:r>
      <w:r>
        <w:rPr>
          <w:rFonts w:ascii="Arial" w:cs="Arial" w:eastAsia="Arial" w:hAnsi="Arial"/>
          <w:sz w:val="16"/>
          <w:szCs w:val="16"/>
          <w:color w:val="212529"/>
        </w:rPr>
        <w:t xml:space="preserve"> candidate. We license certain intellectual property related to our NAV Technology Platform to our NAV Technology Licensees and collaborators. Our NAV Technology Licensees and collaborators have multiple preclinical studies and clinical trials in progress. However, only one gene therapy product based on our licensing program, Novartis AG’s Zolgensma, has been approved or commercialized. Other than revenue in connection with sales of Zolgensma, we may generate only limited recurring revenue in the near term from our current NAV Technology Licensees and collaborators. We expect to continue to incur significant expenses and regularly incur operating losses for the foreseeable future. The net losses we incur may fluctuate significantly from quarter to quarter. We anticipate that our expenses will increase substantially if, and as, we:</w:t>
      </w:r>
    </w:p>
    <w:p>
      <w:pPr>
        <w:spacing w:after="0" w:line="60"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continue our research studies and preclinical and clinical development of our product candidates, including our lead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our lead product candidates and future product candidates, if 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initiate additional activities relating to manufacturing, including building out additional laboratory and manufacturing capacity;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prepare our BLA and MAA for our lead product candidates and seek marketing approvals for any of our other product candidates that successfully complete clinical trials, if any;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further develop our NAV Technology Platform;</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 if any;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 enforce our intellectual property rights;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212529"/>
        </w:rPr>
        <w:t>For us to become consistently profitable, we and our licensees and collaborators must develop and commercialize product candidates with significant market potential. This will require us and our licensees and collaborators to be successful in a range of business challenges, including expansion of the licensing of our NAV Technology Platform, completing preclinical studies of product candidates, commencing and completing clinical trials of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consistently generate revenues that are sufficient to achieve profitability, and we may not be able to sustain or increase profitability on a quarterly or annual basis. Our failure to become consistently profitable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212529"/>
        </w:rPr>
        <w:t>We may need to raise additional funding, which may not be available on acceptable terms, or at all. Failure to obtain this necessary capital when needed may force us to delay, limit or terminate certain of our licensing activities, product development efforts or other operations.</w:t>
      </w:r>
    </w:p>
    <w:p>
      <w:pPr>
        <w:spacing w:after="0" w:line="16"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212529"/>
        </w:rPr>
        <w:t>We expect to require substantial future capital in order to complete research studies, preclinical and clinical development for our current product candidates and any future product candidates, and potentially commercialize these product candidates. We expect our spending levels to increase in connection with our preclinical and clinical trials of our product candidates. In addition, if we obtain marketing approval for any of our product candidates, we expect to incur significant expenses related to product sales, medical affairs, marketing, manufacturing and distribution. Accordingly, we will need to obtain substantial additional funding in connection with our continuing operations. If we are unable to raise capital when needed or on attractive terms, we could be forced to delay, reduce or eliminate certain of our licensing activities, our research and development programs or other operations.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212529"/>
        </w:rPr>
        <w:t xml:space="preserve">Our </w:t>
      </w:r>
      <w:r>
        <w:rPr>
          <w:rFonts w:ascii="Arial" w:cs="Arial" w:eastAsia="Arial" w:hAnsi="Arial"/>
          <w:sz w:val="16"/>
          <w:szCs w:val="16"/>
          <w:color w:val="000000"/>
        </w:rPr>
        <w:t>operations</w:t>
      </w:r>
      <w:r>
        <w:rPr>
          <w:rFonts w:ascii="Arial" w:cs="Arial" w:eastAsia="Arial" w:hAnsi="Arial"/>
          <w:sz w:val="16"/>
          <w:szCs w:val="16"/>
          <w:color w:val="212529"/>
        </w:rPr>
        <w:t xml:space="preserve"> have consumed significant amounts of cash since inception. Our future capital requirements will depend on many factors, including:</w:t>
      </w:r>
    </w:p>
    <w:p>
      <w:pPr>
        <w:spacing w:after="0" w:line="140"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enrollment, commencement and completion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preclinical studies for our product candidates and any subsequent clinical trials;</w:t>
      </w:r>
    </w:p>
    <w:p>
      <w:pPr>
        <w:spacing w:after="0" w:line="117"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associated with building out additional laboratory and manufacturing capacity;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future product sales, medical affairs, marketing, manufacturing and distribution activities for any of our product candidates for which we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revenue, if any, received from commercial sales of our products, should any of our product candidates receive marketing approval;</w:t>
      </w:r>
    </w:p>
    <w:p>
      <w:pPr>
        <w:spacing w:after="0" w:line="128" w:lineRule="exact"/>
        <w:rPr>
          <w:rFonts w:ascii="Arial" w:cs="Arial" w:eastAsia="Arial" w:hAnsi="Arial"/>
          <w:sz w:val="17"/>
          <w:szCs w:val="17"/>
          <w:color w:val="auto"/>
        </w:rPr>
      </w:pPr>
    </w:p>
    <w:p>
      <w:pPr>
        <w:ind w:left="1000" w:right="600" w:hanging="493"/>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revenue received from commercial sales of Zolgensma and other revenue, if any, received in connection with commercial sales of our licensees’ and collaborators’ products, should any of their product candidates receive marketing approval;</w:t>
      </w:r>
    </w:p>
    <w:p>
      <w:pPr>
        <w:spacing w:after="0" w:line="3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current licensing agreements or collaborations remaining in effect, including our Collaboration and License Agreement with AbbVie;</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establish and maintain additional licensing agreements or collaborations on favorable terms, if at all;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ind w:right="160" w:firstLine="510"/>
        <w:spacing w:after="0" w:line="290" w:lineRule="auto"/>
        <w:rPr>
          <w:sz w:val="20"/>
          <w:szCs w:val="20"/>
          <w:color w:val="auto"/>
        </w:rPr>
      </w:pPr>
      <w:r>
        <w:rPr>
          <w:rFonts w:ascii="Arial" w:cs="Arial" w:eastAsia="Arial" w:hAnsi="Arial"/>
          <w:sz w:val="16"/>
          <w:szCs w:val="16"/>
          <w:color w:val="212529"/>
        </w:rPr>
        <w:t xml:space="preserve">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w:t>
      </w:r>
      <w:r>
        <w:rPr>
          <w:rFonts w:ascii="Arial" w:cs="Arial" w:eastAsia="Arial" w:hAnsi="Arial"/>
          <w:sz w:val="16"/>
          <w:szCs w:val="16"/>
          <w:color w:val="000000"/>
        </w:rPr>
        <w:t>required</w:t>
      </w:r>
      <w:r>
        <w:rPr>
          <w:rFonts w:ascii="Arial" w:cs="Arial" w:eastAsia="Arial" w:hAnsi="Arial"/>
          <w:sz w:val="16"/>
          <w:szCs w:val="16"/>
          <w:color w:val="212529"/>
        </w:rPr>
        <w:t xml:space="preserve">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that may not be commercially available for many years, if at all. In addition, revenue from our NAV Technology Platform licensing is dependent in part on the clinical and commercial success of our licensing partners, including the commercialization of Zolgensma, and in part on maintaining our license agreements with our licensor partners, including GlaxoSmithKline LLC (GSK) and the University of Pennsylvania (Penn). Accordingly, we will need to continue to rely on additional financing to achieve our business objectives.</w:t>
      </w:r>
    </w:p>
    <w:p>
      <w:pPr>
        <w:spacing w:after="0" w:line="165"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212529"/>
        </w:rPr>
        <w:t xml:space="preserve">The issuance of additional securities, whether equity or debt, by us, or the possibility of such issuance, may cause the market price of our common </w:t>
      </w:r>
      <w:r>
        <w:rPr>
          <w:rFonts w:ascii="Arial" w:cs="Arial" w:eastAsia="Arial" w:hAnsi="Arial"/>
          <w:sz w:val="18"/>
          <w:szCs w:val="18"/>
          <w:color w:val="000000"/>
        </w:rPr>
        <w:t xml:space="preserve">stock </w:t>
      </w:r>
      <w:r>
        <w:rPr>
          <w:rFonts w:ascii="Arial" w:cs="Arial" w:eastAsia="Arial" w:hAnsi="Arial"/>
          <w:sz w:val="18"/>
          <w:szCs w:val="18"/>
          <w:color w:val="212529"/>
        </w:rPr>
        <w:t>to decline. Adequate additional financing may not be available to us on acceptable terms, or at all. We also could be required to seek funds through</w:t>
      </w:r>
      <w:r>
        <w:rPr>
          <w:rFonts w:ascii="Arial" w:cs="Arial" w:eastAsia="Arial" w:hAnsi="Arial"/>
          <w:sz w:val="18"/>
          <w:szCs w:val="18"/>
          <w:color w:val="000000"/>
        </w:rPr>
        <w:t xml:space="preserve"> </w:t>
      </w:r>
      <w:r>
        <w:rPr>
          <w:rFonts w:ascii="Arial" w:cs="Arial" w:eastAsia="Arial" w:hAnsi="Arial"/>
          <w:sz w:val="18"/>
          <w:szCs w:val="18"/>
          <w:color w:val="212529"/>
        </w:rPr>
        <w:t>arrangements with partners or otherwise that may require us to relinquish rights to our intellectual property, our product candidates or otherwise agree to terms unfavorable to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12529"/>
        </w:rPr>
        <w:t>Although we have generated significant revenues from licensing our NAV Technology Platform, we have never generated revenue from sales of our product candidates and may never do so in the future.</w:t>
      </w:r>
    </w:p>
    <w:p>
      <w:pPr>
        <w:spacing w:after="0" w:line="62"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212529"/>
        </w:rPr>
        <w:t>We have generated significant revenues from licensing our NAV Technology Platform, including sublicense fees, milestone payments and royalties on net sales of a licensed product, Zolgensma. However, our ability to generate revenue from sales of our internal product candidates will depend on our ability, alone or with partners, to successfully complete the development of, and obtain the regulatory approvals necessary to commercialize, our product candidates.</w:t>
      </w:r>
    </w:p>
    <w:p>
      <w:pPr>
        <w:spacing w:after="0" w:line="18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212529"/>
        </w:rPr>
        <w:t>Our ability to generate future revenues from sales of our product candidates and in connection with sales of our licensees’ and collaborators’ products depends heavily on our, and our licensees’ and collaborators’, success in:</w:t>
      </w:r>
    </w:p>
    <w:p>
      <w:pPr>
        <w:spacing w:after="0" w:line="62" w:lineRule="exact"/>
        <w:rPr>
          <w:sz w:val="20"/>
          <w:szCs w:val="20"/>
          <w:color w:val="auto"/>
        </w:rPr>
      </w:pPr>
    </w:p>
    <w:p>
      <w:pPr>
        <w:ind w:left="1000" w:right="6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completing research studies and preclinical and clinical development of product candidates and identifying new gene therapy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regulatory and marketing approvals for product candidates for which clinical trials are completed;</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commercializing product candidates for which regulatory and marketing approval is obtained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or our licensees and collaborators may enter and performing our obligations in such collaborations;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product candidates;</w:t>
      </w:r>
    </w:p>
    <w:p>
      <w:pPr>
        <w:spacing w:after="0" w:line="117"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and enhancing a sustainable, scalable, reproducible and transferable manufacturing process for our vectors and product candidates;</w:t>
      </w:r>
    </w:p>
    <w:p>
      <w:pPr>
        <w:spacing w:after="0" w:line="62" w:lineRule="exact"/>
        <w:rPr>
          <w:rFonts w:ascii="Arial" w:cs="Arial" w:eastAsia="Arial" w:hAnsi="Arial"/>
          <w:sz w:val="18"/>
          <w:szCs w:val="18"/>
          <w:color w:val="auto"/>
        </w:rPr>
      </w:pPr>
    </w:p>
    <w:p>
      <w:pPr>
        <w:ind w:left="1000" w:right="60" w:hanging="493"/>
        <w:spacing w:after="0" w:line="30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product candidates, if approved;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as a viable treatment option;</w:t>
      </w:r>
    </w:p>
    <w:p>
      <w:pPr>
        <w:spacing w:after="0" w:line="117" w:lineRule="exact"/>
        <w:rPr>
          <w:rFonts w:ascii="Arial" w:cs="Arial" w:eastAsia="Arial" w:hAnsi="Arial"/>
          <w:sz w:val="18"/>
          <w:szCs w:val="18"/>
          <w:color w:val="auto"/>
        </w:rPr>
      </w:pPr>
    </w:p>
    <w:p>
      <w:pPr>
        <w:ind w:left="1000" w:right="60" w:hanging="493"/>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competing effectively when other companies may develop products that are priced lower, reimbursed more favorably by government or other third-party payors, safer, more effective or more convenient to use than our products, if any, or our licensees’ and collaborators’ products;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infringement and other intellectual property related claims;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212529"/>
        </w:rPr>
        <w:t>Many of these factors as they relate to our licensees’ and collaborators’ products, including Zolgensma, will be outside our control, and future revenues in connection with sales of such products may be precluded or limited by any of these factors. Under our Collaboration and License Agreement with AbbVie, we will have limited influence and control over the RGX-314 development and commercialization activities of AbbVie in markets outside the United States, and future revenues in connection with sales of licensed products under such agreement may be precluded or limited by any of these factors.</w:t>
      </w:r>
    </w:p>
    <w:p>
      <w:pPr>
        <w:spacing w:after="0" w:line="15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212529"/>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sales of any of our product candidates or in connection with sales of any of our licensees’ or collaborators’ products, we may not become profitable and may need to obtain additional funding to continue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certain preclinical research and development activities and aspects of our clinical trials. If these third parties do not meet our deadlines or otherwise conduct the preclinical research and development activities and trials as required, our preclinical and clinical development programs could be delayed or unsuccessful.</w:t>
      </w:r>
    </w:p>
    <w:p>
      <w:pPr>
        <w:spacing w:after="0" w:line="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do not have the ability to conduct all aspects of our preclinical research and development activities or clinical trials ourselves. We are dependent on third parties to conduct certain aspects of our clinical trials and, therefore, the timing of the initiation and completion of these trials may be controlled by such third parties and may occur on substantially different timing from our estimates. Specifically, we rely on third parties to conduct a portion of our preclinical research and development activities and we may also rely on CROs, medical institutions, clinical investigators, consultants or other third parties to conduct our clinical trials in accordance with our clinical protocols and regulatory requirements. A loss or deterioration of our relationships with such third parties or the principal investigators for our preclinical and clinical programs could materially harm our business.</w:t>
      </w:r>
    </w:p>
    <w:p>
      <w:pPr>
        <w:spacing w:after="0" w:line="17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There is no guarantee that any third party on which we rely for our preclinical research and development activities and the administration and conduct of our clinical trials will devote adequate time and resources to such activities or trials or perform as contractually required. If any such third party fails to meet expected deadlines, fails to adhere to our preclinical or clinical protocols or otherwise performs in a substandard manner, our preclinical programs and clinical trials may be extended, delayed, or terminated, which could materially harm our business. Additionally, if any of our clinical trial sites terminates for any reason, we may experience the loss of follow-up information on subjects enrolled in our ongoing clinical trials unless we are able to transfer those subjects to another qualified clinical trial site. Furthermore,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the integrity of the data generated at the applicable clinical trial site may be jeopardized, which could result in substantial delays in our clinical trials and materially harm our business.</w:t>
      </w:r>
    </w:p>
    <w:p>
      <w:pPr>
        <w:spacing w:after="0" w:line="2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have in the past, and in the future may, enter into licensing agreements or collaborations with third parties licensing parts of our NAV Technology Platform for the development of product candidates. If these licensing arrangements or collaborations are not successful, our business could be harmed.</w:t>
      </w:r>
    </w:p>
    <w:p>
      <w:pPr>
        <w:spacing w:after="0" w:line="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have entered into agreements involving the licensing of parts of our NAV Technology Platform and relating to the development and commercialization of certain product candidates and plan to enter into additional licensing agreements or collaborations in the future. We have limited control over the amount and timing of resources that our current and future licensees and collaborators dedicate to the development or commercialization of product candidates or of products utilizing licensed components of our NAV Technology Platform. Our ability to generate revenues from these arrangements will depend on our and our licensees’ and collaborators’ abilities to successfully perform the functions assigned to each of us in these arrangements. In addition, our licensees and collaborators have the ability to abandon research or development projects and terminate applicable agreements. Moreover, an unsuccessful outcome in any clinical trial for which our licensee or collaborator is responsible could be harmful to the public perception and prospects of our NAV Technology Platform or product candidates.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current or future licensing agreements or future collaborations we enter into may pose additional risks, including the following:</w:t>
      </w:r>
    </w:p>
    <w:p>
      <w:pPr>
        <w:spacing w:after="0" w:line="117"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subjects in clinical trials undertaken by our licensees and collaborators may suffer adverse effects, including death;</w:t>
      </w:r>
    </w:p>
    <w:p>
      <w:pPr>
        <w:spacing w:after="0" w:line="117" w:lineRule="exact"/>
        <w:rPr>
          <w:rFonts w:ascii="Arial" w:cs="Arial" w:eastAsia="Arial" w:hAnsi="Arial"/>
          <w:sz w:val="18"/>
          <w:szCs w:val="18"/>
          <w:color w:val="auto"/>
        </w:rPr>
      </w:pPr>
    </w:p>
    <w:p>
      <w:pPr>
        <w:ind w:left="1000" w:right="340" w:hanging="493"/>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licensees and collaborators may not pursue development and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spacing w:after="0" w:line="78"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75"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candidates developed in collaboration with us may be viewed by our licensees or collaborators as competitive with their own product candidates or products, which may cause licensees or collaborators to cease to devote resources to the commercialization of our product candidates;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00" w:right="28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licensee or collaborator with marketing and distribution rights to one or more of our product candidates that achieve regulatory approval may not commit sufficient resources to the marketing and distribution of any such product candidate;</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licensees or collaborators may breach their reporting, payment, intellectual property or other obligations to us, which could prevent us from complying with our contractual obligations to GSK and Penn;</w:t>
      </w:r>
    </w:p>
    <w:p>
      <w:pPr>
        <w:spacing w:after="0" w:line="62" w:lineRule="exact"/>
        <w:rPr>
          <w:rFonts w:ascii="Arial" w:cs="Arial" w:eastAsia="Arial" w:hAnsi="Arial"/>
          <w:sz w:val="18"/>
          <w:szCs w:val="18"/>
          <w:color w:val="auto"/>
        </w:rPr>
      </w:pPr>
    </w:p>
    <w:p>
      <w:pPr>
        <w:ind w:left="1000" w:right="100" w:hanging="493"/>
        <w:spacing w:after="0" w:line="25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disagreements with licensees or collaborators, including disagreements over intellectual property and other proprietary rights, payment obligations,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 and could potentially lessen the value of such agreements and collaborations;</w:t>
      </w:r>
    </w:p>
    <w:p>
      <w:pPr>
        <w:spacing w:after="0" w:line="79"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our other rights to intellectual property developed pursuant to our licensing agreements or collaborations;</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licensees or collaborators may infringe or otherwise violate the intellectual property rights of third parties, which may expose us to litigation and potential liability; and</w:t>
      </w:r>
    </w:p>
    <w:p>
      <w:pPr>
        <w:spacing w:after="0" w:line="62" w:lineRule="exact"/>
        <w:rPr>
          <w:rFonts w:ascii="Arial" w:cs="Arial" w:eastAsia="Arial" w:hAnsi="Arial"/>
          <w:sz w:val="18"/>
          <w:szCs w:val="18"/>
          <w:color w:val="auto"/>
        </w:rPr>
      </w:pPr>
    </w:p>
    <w:p>
      <w:pPr>
        <w:ind w:left="1000" w:right="120" w:hanging="493"/>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licensing agreements or collaborations may be terminated for the convenience of the licensee or collaborator and, if terminated, we could be required to raise additional capital to pursue further development or commercialization of the applicable product candidates.</w:t>
      </w:r>
    </w:p>
    <w:p>
      <w:pPr>
        <w:spacing w:after="0" w:line="14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For example, under our Collaboration and License Agreement with AbbVie, we will have limited influence and control over the RGX-314 development and commercialization activities of AbbVie in markets outside the United States. Failure by AbbVie to meet its obligations under our Collaboration and License Agreement, to apply sufficient efforts at developing and commercializing licensed products, or to comply with applicable legal or regulatory requirements, may materially adversely affect our business.</w:t>
      </w:r>
    </w:p>
    <w:p>
      <w:pPr>
        <w:spacing w:after="0" w:line="18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If our licensing agreements or collaborations do not result in the successful development and commercialization of products, or if one of our licensees or collaborators terminates its agreement with us, we may not receive any future milestone or royalty payments, as applicable, under the license agreement or collaboration. If we do not receive the payments we expect under these agreements, our development of product candidates could be delayed and we may need additional resources to develop our product candidates. In addition, if one of our licensees or collaborators terminates its agreement with us, we may find it more difficult to attract new licensees or collaborators and the perception of us in the business and financial communities could be harmed. Each of our licensees and collaborators is subject to similar risks with respect to product development, regulatory approval and commercialization, and any such risk could result in its business being harmed, which could adversely affect our collaboration.</w:t>
      </w:r>
    </w:p>
    <w:p>
      <w:pPr>
        <w:spacing w:after="0" w:line="166"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may in the future decide to partner or collaborate with pharmaceutical and biotechnology companies for the development and potential commercialization of our product candidates. 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licensing agreement or collaboration agreement will depend, among other things, upon our assessment of the collaborator’s resources and expertise, the terms and conditions of the proposed collaboration and the proposed collaborator’s evaluation of a variety of factors.</w:t>
      </w:r>
    </w:p>
    <w:p>
      <w:pPr>
        <w:spacing w:after="0" w:line="5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not be successful in our efforts to establish such a strategic partnership or other alternative arrangements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market opportunity. In addition, we may be restricted under existing collaboration agreements from entering into future agreements with potential collaborators. If we license rights to product candidates, we may not be able to realize the benefit of such transactions if we are unable to successfully integrate the licensed product candidates with our existing operations.</w:t>
      </w:r>
    </w:p>
    <w:p>
      <w:pPr>
        <w:spacing w:after="0" w:line="19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we are unable to reach agreements with suitable licensees or collaborators on a timely basis, on acceptable terms or at all, we may have to curtail the development of a product candidate, reduce or delay its development program, delay its potential commercialization, reduce the scope of any sales or marketing activities or increase our expenditures and undertake development or commercialization activities at our own expense. If we elect to fund development or commercialization activities on our own, we may need to obtain additional expertise and additional capital, which may not be available to us on acceptable terms or at all.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Because we rely on third parties, including contractors, to research, develop and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these provisions may be breached, and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materially harm our business.</w:t>
      </w:r>
    </w:p>
    <w:p>
      <w:pPr>
        <w:spacing w:after="0" w:line="181"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collaborate with, or may collaborate with in the future, will sometimes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harm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Products intended for use in gene therapies are novel, complex and difficult to manufacture. We could experience production problems that result in delays in our development or commercialization programs, limit the supply of our products or otherwise harm our business.</w:t>
      </w:r>
    </w:p>
    <w:p>
      <w:pPr>
        <w:spacing w:after="0" w:line="1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currently have development, manufacturing and testing agreements with third parties to manufacture supplies of our product candidates, in addition to our internal manufacturing laboratory. Several factors could cause production interruptions, including equipment malfunctions, facility contamination, raw material shortages or contamination, a decline in stability of a product that reduces its shelf life, natural disasters, public health crises, disruption in utility services, human error or disruptions in the operations of suppliers.</w:t>
      </w:r>
    </w:p>
    <w:p>
      <w:pPr>
        <w:spacing w:after="0" w:line="18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biologics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may not be detected in standard release testing, which could result in lot failures, product recalls, declines in stability, product liability claims or insufficient inventory. We may encounter problems achieving adequate quantities and quality of clinical-grade materials that meet FDA, EMA or other applicable foreign standards or specifications with consistent and acceptable production yields and costs.</w:t>
      </w:r>
    </w:p>
    <w:p>
      <w:pPr>
        <w:spacing w:after="0" w:line="178"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or batch until the competent authority authorizes its release. Slight deviations in the manufacturing process, including those affecting quality attributes and stability, may result in unacceptable changes in the product that could result in lot/batch failures or product recalls. Lot/batch failures or product recalls could cause us to delay clinical trials or product launches which could be costly to us and otherwise harm our business, financial condition, results of operations and prospects.</w:t>
      </w:r>
    </w:p>
    <w:p>
      <w:pPr>
        <w:spacing w:after="0" w:line="178"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24"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additional attractive development programs. Problems in third-party manufacturing processes or facilities also could restrict our ability to meet market demand for our products. Additionally, should our manufacturing agreements with third parties be terminated for any reason, there may be a limited number of manufacturers who would be suitable replacements and it could take a significant amount of time to transition the manufacturing to a replacement.</w:t>
      </w:r>
    </w:p>
    <w:p>
      <w:pPr>
        <w:spacing w:after="0" w:line="29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Delays in obtaining regulatory approval of our manufacturing process or disruptions in our manufacturing process, including the development of our current good manufacturing practice (cGMP) production facility, may delay or disrupt our commercialization efforts.</w:t>
      </w:r>
    </w:p>
    <w:p>
      <w:pPr>
        <w:spacing w:after="0" w:line="3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Before we can begin to commercially manufacture our product candidates in third-party or our own facilities, we must obtain regulatory approval from the FDA, which includes a review of the manufacturing process and facility. A manufacturing authorization must also be obtained from the appropriate European Union Member State regulatory authorities and may be required by other foreign regulatory authorities. The timeframe required to obtain such approval or authorization is uncertain. In order to obtain approval, we will need to ensure that all of our processes, methods and equipment are compliant with cGMP, and perform extensive audits of vendors, contract laboratories and suppliers. If we or any of our vendors, contract laboratories or suppliers are found to be out of compliance with cGMP, we may experience delays or disruptions in manufacturing while we work to remedy the violation or while we work to identify suitable replacement vendors, contract laboratories or suppliers.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which could result in fines or reputational harm, and we may not be permitted to sell any products that we may develop.</w:t>
      </w:r>
    </w:p>
    <w:p>
      <w:pPr>
        <w:spacing w:after="0" w:line="2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our product manufacturing, and these third parties may not perform satisfactorily.</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currently plan to have some of the material manufactured for our planned preclinical and clinical programs by third parties. We currently rely, and expect to continue to rely, on third parties for the production of a portion of our preclinical study and planned clinical trial materials and, therefore, we can control only certain aspects of their activities.</w:t>
      </w:r>
    </w:p>
    <w:p>
      <w:pPr>
        <w:spacing w:after="0" w:line="18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rely on additional third parties to manufacture ingredients of our product candidates and to perform quality testing, and reliance on these third parties entails risks to which we would not be subject if we manufactured the product candidates ourselves, including:</w:t>
      </w:r>
    </w:p>
    <w:p>
      <w:pPr>
        <w:spacing w:after="0" w:line="62"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w:t>
      </w:r>
    </w:p>
    <w:p>
      <w:pPr>
        <w:spacing w:after="0" w:line="62" w:lineRule="exact"/>
        <w:rPr>
          <w:rFonts w:ascii="Arial" w:cs="Arial" w:eastAsia="Arial" w:hAnsi="Arial"/>
          <w:sz w:val="18"/>
          <w:szCs w:val="18"/>
          <w:color w:val="auto"/>
        </w:rPr>
      </w:pPr>
    </w:p>
    <w:p>
      <w:pPr>
        <w:ind w:left="1000" w:right="600" w:hanging="493"/>
        <w:spacing w:after="0" w:line="30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disruptions to the operations of our third-party manufacturers and service providers caused by conditions unrelated to our business or operations, including the bankruptcy of, or legal or regulatory actions against, the manufacturer or service provider;</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capacity of our third-party manufacturers and service providers caused by increased demand by their other customers;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discovery of data integrity issues with our third-party manufacturers and service providers which directly or indirectly impact our ability to use our product candidates; and</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legal or regulatory actions against our third-party manufacturers and service providers which adversely affect our ability to use our product candidates.</w:t>
      </w:r>
    </w:p>
    <w:p>
      <w:pPr>
        <w:spacing w:after="0" w:line="17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FDA, EMA or other regulatory authority action could include injunction, recall, seizure or total or partial suspension of product manufacture or manufacturing authorization. Any of these events could lead to clinical trial delays or failure to obtain regulatory approval, or impact our ability to successfully commercialize future product candidates, and therefore may cause our business, financial condition, results of operations and prospects to be materially harmed.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Failure to comply with ongoing manufacturing regulatory requirements could cause us to suspend production or put in place costly or time-consuming remedial measures, and shortages of resources or raw materials could result in delays in our research studies, preclinical and clinical development or marketing schedules.</w:t>
      </w:r>
    </w:p>
    <w:p>
      <w:pPr>
        <w:spacing w:after="0" w:line="7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us or any of our third-party manufacturers could materially harm our business, financial condition, results of operations and prospects.</w:t>
      </w:r>
    </w:p>
    <w:p>
      <w:pPr>
        <w:spacing w:after="0" w:line="192"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If we or any of our third party-manufacturers fail to comply with applicable cGMP regulations,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materially harmed.</w:t>
      </w:r>
    </w:p>
    <w:p>
      <w:pPr>
        <w:spacing w:after="0" w:line="16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Additionally, if supply from a manufacturing facility is interrupted, there could be a significant disruption in commercial supply of our products. An alternative manufacturer would need to be qualified, through a supplement to its regulatory filing, which could result in further delay.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79"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14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Some of the resources, raw materials and components required in our manufacturing or research and development processes are derived from biologic sources, and we normally rely on suppliers to provide such resources, raw materials and components. These may be difficult to procure and subject to contamination or recall. Certain resources, raw materials and components, especially those that are specifically catered to the gene therapy industry, may become unavailable to us in sufficient quantities from time to time due to increased demand.</w:t>
      </w:r>
    </w:p>
    <w:p>
      <w:pPr>
        <w:spacing w:after="0" w:line="17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A material shortage, contamination, recall or restriction on the use of biologically derived substances in the manufacture of our product candidates may be beyond our control and could adversely impact or disrupt the commercial manufacturing or the production of clinical material, which could materially harm our development timelines and our business, financial condition, results of operations and prospects.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if approved, we may be unable to generate any product revenue.</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 xml:space="preserve">We currently have no products to sell and therefore no product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w:t>
      </w:r>
      <w:r>
        <w:rPr>
          <w:rFonts w:ascii="Arial" w:cs="Arial" w:eastAsia="Arial" w:hAnsi="Arial"/>
          <w:sz w:val="16"/>
          <w:szCs w:val="16"/>
          <w:color w:val="212529"/>
        </w:rPr>
        <w:t>develop</w:t>
      </w:r>
      <w:r>
        <w:rPr>
          <w:rFonts w:ascii="Arial" w:cs="Arial" w:eastAsia="Arial" w:hAnsi="Arial"/>
          <w:sz w:val="16"/>
          <w:szCs w:val="16"/>
          <w:color w:val="auto"/>
        </w:rPr>
        <w:t xml:space="preserve"> this capability. We may enter into collaborations regarding one or more of our product candidates with other entities to utilize their marketing and distribution capabilities, such as our collaboration with AbbVie, but we may be unable to enter into such agreements on favorable terms, if at all. If any current licensees or collaborators, or future licensees or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17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materially harm our business, financial condition, results of operations and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12529"/>
        </w:rPr>
        <w:t>If we do not achieve our projected development goals in the timeframes we announce and expect, the commercialization of our products may be delayed and, as a result, our stock price may decline.</w:t>
      </w:r>
    </w:p>
    <w:p>
      <w:pPr>
        <w:spacing w:after="0" w:line="62"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212529"/>
        </w:rPr>
        <w:t xml:space="preserve">From time to time, we estimate the timing of the accomplishment of various scientific, clinical, regulatory and other product development goals, which we sometimes refer to as milestones. These milestones may include, but are not limited to, the commencement or completion of scientific studies and clinical trials, the submission of regulatory filings, the announcement of results from scientific studies or clinical trials and the announcement of additional product candidates. From time to time, we may publicly announce the expected timing of some of these milestones. All of these milestones are and will be based on numerous assumptions. The actual timing of </w:t>
      </w:r>
      <w:r>
        <w:rPr>
          <w:rFonts w:ascii="Arial" w:cs="Arial" w:eastAsia="Arial" w:hAnsi="Arial"/>
          <w:sz w:val="17"/>
          <w:szCs w:val="17"/>
          <w:color w:val="000000"/>
        </w:rPr>
        <w:t>these</w:t>
      </w:r>
      <w:r>
        <w:rPr>
          <w:rFonts w:ascii="Arial" w:cs="Arial" w:eastAsia="Arial" w:hAnsi="Arial"/>
          <w:sz w:val="17"/>
          <w:szCs w:val="17"/>
          <w:color w:val="212529"/>
        </w:rPr>
        <w:t xml:space="preserv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28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we still may not be able to successfully commercialize our lead product candidates or any future product candidate, and the revenue that we generate from any approved product’s sales, if any, could be limited.</w:t>
      </w:r>
    </w:p>
    <w:p>
      <w:pPr>
        <w:spacing w:after="0" w:line="3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From time to time, public sentiment may be more adverse to commercialization of gene therapy as a therapeutic technique. Even with the requisite approvals from the FDA, the EMA and other regulatory authorities, the commercial success of our product candidates will depend, in part, on the acceptance of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will depend on a number of factors, including:</w:t>
      </w:r>
    </w:p>
    <w:p>
      <w:pPr>
        <w:spacing w:after="0" w:line="69"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 of our targeted patient population and other limitations or warnings contained in any FDA or European Commission labeling, or other comparable foreign regulatory authority-approved labeling;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acceptance of a new formulation by health care providers and their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procedures or methods of treatment that may be more effective in treating or may reduce the conditions which our products are intended to treat;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reimbursement from government health care programs, including Medicare and Medicaid, private health insurers and other third-party payors;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publicity and negative public opinion relating to product candidates or gene therapy generally, including due to serious adverse events in gene therapy trials;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or reimbursement.</w:t>
      </w:r>
    </w:p>
    <w:p>
      <w:pPr>
        <w:spacing w:after="0" w:line="22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on the benefits of our lead product candidates or any future product candidates may require significant resources and may never be successful. In addition, our ability to successfully commercialize our product candidates will depend on our ability to differentiate our products from competing products and defend and enforce our intellectual property rights relating to our products. Additionally, if the market opportunities for our lead product candidates or any future product candidates are smaller than we believe they are, our product revenues may be harmed and our business may suffer.</w:t>
      </w:r>
    </w:p>
    <w:p>
      <w:pPr>
        <w:spacing w:after="0" w:line="164"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focus our research and product development on treatments for severe genetic and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harm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Further, there are several factors that could contribute to making the actual number of patients who receive any products we develop less than the potentially addressable market. These include the lack of widespread availability of, and limited reimbursement for, new therapies in many underdeveloped markets. Further, the severity of the progression of a disease up to the time of treatment, especially in certain degenerative conditions such as the conditions our lead product candidates are intended to treat, will likely diminish the therapeutic benefit conferred by a gene therapy due to irreversible cell death. Lastly, certain patients’ immune systems might prohibit the successful delivery of certain gene therapy products to the target tissue, thereby limiting the treatment outcomes.</w:t>
      </w:r>
    </w:p>
    <w:p>
      <w:pPr>
        <w:spacing w:after="0" w:line="300"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The insurance coverage and reimbursement status of newly approved products is uncertain. Failure to obtain or maintain adequate coverage and reimbursement for our products, if approved, could limit our ability to market those products and decrease our ability to generate product revenue.</w:t>
      </w:r>
    </w:p>
    <w:p>
      <w:pPr>
        <w:spacing w:after="0" w:line="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prices of our product candidates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56"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There is significant uncertainty related to third-party coverage and reimbursement of newly approved products, including potential one-time gene therapies.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It is difficult to predict what the Centers for Medicare &amp; Medicaid Services (CMS), the agency responsible for administering the Medicare program, will decide with respect to coverage and reimbursement for fundamentally novel products such as ours, as there is no body of established practices and precedents for these types of products. We cannot be assured that Medicare or Medicaid will cover any of our products, if approved, or provide reimbursement at adequate levels to realize a sufficient return on our investment. In addition, government regulators and legislative bodies in the United States are considering numerous proposals that may result in limitations on the prices at which we could charge customers for our products if we have products that are approved for sale. At this time, we are unable to predict how these potential legislative changes might affect our business. Moreover, reimbursement agencies in the European Union may be more conservative than CMS. It is difficult to predict what third-party payors will decide with respect to the coverage and reimbursement for our product candidates.</w:t>
      </w:r>
    </w:p>
    <w:p>
      <w:pPr>
        <w:spacing w:after="0" w:line="179"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auto"/>
        </w:rPr>
        <w:t>Outside the United States, international operations generally are subject to extensive government price controls and other market regulations, and increasing emphasis on cost-containment initiatives in the European Union and other countries may put pricing pressure on us. In many countries, the prices of medical products are subject to varying price control mechanisms as part of national health systems. It also can take a significant amount of time after approval of a product to secure pricing and reimbursement for such product in many countries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reimbursement in the United States and may be insufficient to generate commercially reasonable product revenues.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and the existing data for reimbursement based on some of these metrics is limited. Therefore, it may be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95"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Additionally, our lead product candidates are designed to provide therapeutic benefit after a single administration and, therefore, the pricing and reimbursement of a single administration of our lead product candidates, if approved, must be adequate to support our commercial infrastructure. The downward pressure on healthcare costs in general, particularly prescription drugs and surgical procedures and other treatments, has become intense. As a result, increasingly high barriers are being erected to the entry of new products. If we are unable to obtain adequate levels of reimbursement, our ability to successfully market and sell our product candidates will be harmed. The manner and level at which reimbursement is provided for services related to our product candidates (e.g., for administration of our product to patients) is also important. Inadequate reimbursement for such services may lead to physician resistance and limit our ability to market or sell our products.</w:t>
      </w:r>
    </w:p>
    <w:p>
      <w:pPr>
        <w:spacing w:after="0" w:line="28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Government price controls or other changes in pricing regulation could restrict the amount that we are able to charge for any of our product candidates, if approved, which would adversely affect our revenue and results of operations.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expect that coverage and reimbursement of drugs and biologics may be increasingly restricted in the United States and internationally. The escalating cost of health care has led to increased pressure on the health care industry to reduce costs. In particular, pricing by biopharmaceutical companies recently has come under increased scrutiny and continues to be subject to intense political and public debate in the United States and abroad. Government and private third-party payors have proposed health care reforms and cost reductions of drugs and biologics. A number of federal and state proposals to control the cost of health care have been made in the United States. Specifically, there have been several recent U.S. Congressional inquiries and proposed federal and state bills designed to, among other things, bring more transparency to pricing, review the relationship between pricing and manufacturer patient programs and reform government program reimbursement methodologies. In some international markets, the government controls drug and biologic pricing, which can affect profitability.</w:t>
      </w:r>
    </w:p>
    <w:p>
      <w:pPr>
        <w:spacing w:after="0" w:line="178" w:lineRule="exact"/>
        <w:rPr>
          <w:sz w:val="20"/>
          <w:szCs w:val="20"/>
          <w:color w:val="auto"/>
        </w:rPr>
      </w:pPr>
    </w:p>
    <w:p>
      <w:pPr>
        <w:ind w:right="400" w:firstLine="510"/>
        <w:spacing w:after="0" w:line="311" w:lineRule="auto"/>
        <w:rPr>
          <w:sz w:val="20"/>
          <w:szCs w:val="20"/>
          <w:color w:val="auto"/>
        </w:rPr>
      </w:pPr>
      <w:r>
        <w:rPr>
          <w:rFonts w:ascii="Arial" w:cs="Arial" w:eastAsia="Arial" w:hAnsi="Arial"/>
          <w:sz w:val="16"/>
          <w:szCs w:val="16"/>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drugs and biologics generally could restrict the amount that we are able to charge for our future products, if any, which could adversely affect our revenue and results of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success of our business depends upon our ability to identify, develop and commercialize product candidates based on our NAV Technology Platform. Research programs to identify new product candidates require substantial technical, financial and human resources. Although certain of our product candidates are currently in research studies or preclinical development, we may fail to identify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9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64"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If any of these events occur, we may be forced to abandon our development efforts with respect to a particular product candidate or fail to develop a potentially successful product candidate, which could materially harm our business, financial condition, results of operations and prospects.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are highly dependent on members of our executive team, the loss of any of whose services may adversely impact the achievement of our objectives. While we have entered into employment agreements with each of our executive officers, any of them could leave our employment at any time, as all of our employees are “at will” employees. We currently do not have “key person” insurance on any of our employees. The loss of the services of one or more of our current employees, consultants and advisors might impede the achievement of our research, development, licensing and commercialization objectives.</w:t>
      </w:r>
    </w:p>
    <w:p>
      <w:pPr>
        <w:spacing w:after="0" w:line="188"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Recruiting and retaining other qualified employees, consultants and advisors for our business, including scientific and technical personnel is, and will continue to be, critical to our success. There currently is a shortage of skilled individuals with substantial gene therapy experience, which we believe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studies or clinical trials or applications for marketing approval may make it more challenging to recruit and retain qualified personnel. The inability to recruit, or loss of services of any of our key executives, employees, consultants or advisors may impede the progress of our research, development, licensing and commercialization objectives and materially harm our business, financial condition, results of operations and prospects.</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and licensing activities and, in the longer term, build a sales and marketing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0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our employees, principal investigators, consultants or commercial partners engage in misconduct, or if we are unable to comply with federal and state healthcare fraud and abuse laws, false claims laws, health information privacy and security laws or other applicable laws or regulations, then we could face substantial penalties.</w:t>
      </w:r>
    </w:p>
    <w:p>
      <w:pPr>
        <w:spacing w:after="0" w:line="76"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business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If we obtain the approval of the FDA, the European Commission or other regulatory authorities for any of our product candidates and begin commercializing those products in the United States or outside the United States, our operations will be directly, or indirectly through our prescribers, customers and purchasers, subject to various federal, state and foreign fraud and abuse laws and regulations, including, without limitation, the federal Health Care Program Anti-Kickback Statute, the federal civil and criminal False Claims Act and Physician Payments Sunshine Act and regulations, and similar laws in foreign jurisdictions.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7" w:lineRule="exact"/>
        <w:rPr>
          <w:sz w:val="20"/>
          <w:szCs w:val="20"/>
          <w:color w:val="auto"/>
        </w:rPr>
      </w:pPr>
    </w:p>
    <w:p>
      <w:pPr>
        <w:ind w:left="1000" w:hanging="493"/>
        <w:spacing w:after="0" w:line="273"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Liability may be established under the federal Anti-Kickback Statute without proving actual knowledge of the statute or specific intent to violate it;</w:t>
      </w:r>
    </w:p>
    <w:p>
      <w:pPr>
        <w:spacing w:after="0" w:line="69" w:lineRule="exact"/>
        <w:rPr>
          <w:rFonts w:ascii="Arial" w:cs="Arial" w:eastAsia="Arial" w:hAnsi="Arial"/>
          <w:sz w:val="17"/>
          <w:szCs w:val="17"/>
          <w:color w:val="auto"/>
        </w:rPr>
      </w:pPr>
    </w:p>
    <w:p>
      <w:pPr>
        <w:ind w:left="1000" w:right="100" w:hanging="493"/>
        <w:spacing w:after="0" w:line="25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9"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new federal criminal statutes that prohibit a person from knowingly and willfully executing a scheme or from making false or fraudulent statements to defraud any healthcare benefit program, regardless of the payor (e.g., public or private);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w:t>
      </w:r>
    </w:p>
    <w:p>
      <w:pPr>
        <w:spacing w:after="0" w:line="75" w:lineRule="exact"/>
        <w:rPr>
          <w:rFonts w:ascii="Arial" w:cs="Arial" w:eastAsia="Arial" w:hAnsi="Arial"/>
          <w:sz w:val="18"/>
          <w:szCs w:val="18"/>
          <w:color w:val="auto"/>
        </w:rPr>
      </w:pPr>
    </w:p>
    <w:p>
      <w:pPr>
        <w:ind w:left="1000" w:right="680" w:hanging="493"/>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Modifications to HIPAA,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75" w:lineRule="exact"/>
        <w:rPr>
          <w:rFonts w:ascii="Arial" w:cs="Arial" w:eastAsia="Arial" w:hAnsi="Arial"/>
          <w:sz w:val="18"/>
          <w:szCs w:val="18"/>
          <w:color w:val="auto"/>
        </w:rPr>
      </w:pPr>
    </w:p>
    <w:p>
      <w:pPr>
        <w:ind w:left="1000" w:right="180" w:hanging="493"/>
        <w:spacing w:after="0" w:line="286"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 Sunshine Act, that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57" w:lineRule="exact"/>
        <w:rPr>
          <w:rFonts w:ascii="Arial" w:cs="Arial" w:eastAsia="Arial" w:hAnsi="Arial"/>
          <w:sz w:val="17"/>
          <w:szCs w:val="17"/>
          <w:color w:val="auto"/>
        </w:rPr>
      </w:pPr>
    </w:p>
    <w:p>
      <w:pPr>
        <w:ind w:left="1000" w:right="20" w:hanging="493"/>
        <w:spacing w:after="0" w:line="311"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national laws, industry codes and professional codes of conduct applicable to certain European Union Member States which require payments made to physicians to be publicly disclosed and agreements with physicians to often be the subject of prior notification and approval by the physicians’ employer, his or her competent professional organization and/or the regulatory authorities of the individual Member States;</w:t>
      </w:r>
    </w:p>
    <w:p>
      <w:pPr>
        <w:spacing w:after="0" w:line="40" w:lineRule="exact"/>
        <w:rPr>
          <w:rFonts w:ascii="Arial" w:cs="Arial" w:eastAsia="Arial" w:hAnsi="Arial"/>
          <w:sz w:val="16"/>
          <w:szCs w:val="16"/>
          <w:color w:val="auto"/>
        </w:rPr>
      </w:pPr>
    </w:p>
    <w:p>
      <w:pPr>
        <w:ind w:left="1000" w:right="320" w:hanging="493"/>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state and foreign laws relating to the processing, storage and transfer of personal data, including, but not limited to, the California Consumer Privacy Act and the European Union’s General Data Protection Regulation, which may require us to incur substantial costs or change our business practices with respect to the treatment of personal data; and</w:t>
      </w:r>
    </w:p>
    <w:p>
      <w:pPr>
        <w:spacing w:after="0" w:line="75" w:lineRule="exact"/>
        <w:rPr>
          <w:rFonts w:ascii="Arial" w:cs="Arial" w:eastAsia="Arial" w:hAnsi="Arial"/>
          <w:sz w:val="18"/>
          <w:szCs w:val="18"/>
          <w:color w:val="auto"/>
        </w:rPr>
      </w:pPr>
    </w:p>
    <w:p>
      <w:pPr>
        <w:ind w:left="1000" w:right="60" w:hanging="493"/>
        <w:spacing w:after="0" w:line="279"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reputational harm, public reprimands, third party actions, such as cease and desist letters or injunctions, and the curtailment or restructuring of our operations, any of which could harm our ability to operate our business and our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2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licensing of our NAV Technology Platform or commercialization of any product candidates that we may develop.</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face an inherent risk of product liability exposure related to our licensed NAV Technology Platform and the testing of our product candidates in clinical trials and may face an even greater risk if products utilizing our NAV Technology Platform are commercialized. If we cannot successfully defend ourselves against claims that our technology or product candidates caused injuries, we could incur substantial liabilities. Regardless of merit or eventual outcome, liability claims may result in:</w:t>
      </w:r>
    </w:p>
    <w:p>
      <w:pPr>
        <w:spacing w:after="0" w:line="79"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our technology, including any product candidates that we may develop;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license our NAV Technology Platform or commercialize any product candidates that we may develop;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Although we maintain product liability insurance coverage, this insurance may not be adequate to cover all liabilities that we may incur. We anticipate that we will evaluate the need to increase our insurance coverage each time we commence a clinical trial and may from time to time purchase additional coverage for clinical trials. We may need to increase our product liability insurance coverage if we successfully commercialize any product candidates. Insurance coverage is increasingly expensive and we may not be able to maintain insurance coverage at a reasonable cost or in an amount adequate to satisfy any liability that may arise.</w:t>
      </w:r>
    </w:p>
    <w:p>
      <w:pPr>
        <w:spacing w:after="0" w:line="29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If we, our development partners, including our licensees and collaborators, or our third-party manufacturers or suppliers fail to comply with environmental, health and safety laws and regulations, we could become subject to fines or penalties or incur costs that could materially harm the success of our business.</w:t>
      </w:r>
    </w:p>
    <w:p>
      <w:pPr>
        <w:spacing w:after="0" w:line="76"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We, our development partners, including our licensees and collaborators, and our third-party manufacturers and suppliers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and the operations of our development partners and third-party manufacturers and suppliers also produce hazardous waste products. We cannot eliminate the risk of contamination or injury from these materials. In the event of contamination or injury resulting from the use of hazardous materials by us, our development partners or our third-party manufacturers or suppliers, we could be held liable for any resulting damages, and any liability could exceed our resources. We also could incur significant costs associated with civil or criminal fines and penalties.</w:t>
      </w:r>
    </w:p>
    <w:p>
      <w:pPr>
        <w:spacing w:after="0" w:line="16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work-related injuries to our employees, this insurance may not provide adequate coverage against potential liabilities. Although we maintain insurance for claims that may be asserted against us in connection with our storage or disposal of biologic, hazardous or radioactive materials, this insurance may not be adequate to cover all liabilities that we may incur in connection with such claims.</w:t>
      </w:r>
    </w:p>
    <w:p>
      <w:pPr>
        <w:spacing w:after="0" w:line="18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us or our development partners’, including our licensees’ and collaborators’, research, development or production efforts. Failure to comply with these laws and regulations also may result in substantial fines, penalties or other sanctions or liabilities, which could materially harm our business, financial condition, results of operations and prospects.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material disruption of our business or financial operations, including our licensing and product development programs.</w:t>
      </w:r>
    </w:p>
    <w:p>
      <w:pPr>
        <w:spacing w:after="0" w:line="16"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believe we have not experienced any system failure, accident or security breach to date that has had a material effect on our business, if such an event were to occur and cause interruptions in our operations, it could result in a material disruption of our business or financial operations, including our licensing and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especially since the regulatory environment surrounding data privacy laws are increasingly demanding, with frequent imposition of new and changing requirements. To the extent that any disruption or security breach results in a loss of, or damage to, our trade secrets, data or applications, or inappropriate disclosure of confidential or proprietary information, we could incur liability, our competitive position could be harmed and the further licensing of our NAV Technology Platform and development and commercialization of our product candidates could be delayed. For example, the loss of, or damage to, clinical trial data for any of our product candidates could result in delays in our regulatory approval efforts and significantly increase our costs to recover or reproduce the data.</w:t>
      </w:r>
    </w:p>
    <w:p>
      <w:pPr>
        <w:spacing w:after="0" w:line="184"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Our computer systems or our business partners’ computer systems may be vulnerable to service interruption or destruction, malicious intrusion and random attack. Security breaches pose a risk that sensitive data, including intellectual property, trade secrets or personal information, may be exposed to unauthorized persons or to the public. Cyber-attacks are increasing in their frequency, sophistication and intensity, and have become increasingly difficult to detect. Cyber-attacks could include the deployment of harmful malware, denial-of service, social engineering and other means to affect service reliability, threaten data confidentiality, integrity and availability and fraudulently obtain funds. Our business partners face similar risks, and a security breach of their systems could adversely affect our security posture. While we continue to invest in data protection and information technology, including providing an information security training and compliance program to our employees, there can be no assurance that our efforts will prevent service interruptions or identify breaches in our systems that could adversely affect our business and operations and/or result in the loss of critical or sensitive information, which could result in financial, legal, business or reputational harm.</w:t>
      </w:r>
    </w:p>
    <w:p>
      <w:pPr>
        <w:spacing w:after="0" w:line="18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Although we have general liability and cybersecurity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materially harm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customers are concentrated and therefore the loss of a significant customer may harm our business.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current revenues are derived from a concentrated customer base. Our revenues for the years ended December 31, 2021 and 2020 consisted solely of license and royalty revenue. Two customers accounted for approximately 99% of our total revenues for the year ended December 31, 2021. One customer accounted for approximately 94% of our total revenues for the year ended December 31, 2020. We expect future license and royalty revenue to be derived from a limited number of licensees and collaborators. Future license and royalty revenue is uncertain due to the contingent nature of our licenses granted to third-parties.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rights to license our NAV Technology Platform and to develop and commercialize our product candidates are subject, in part, to the terms and conditions of licenses granted to us by others.</w:t>
      </w:r>
    </w:p>
    <w:p>
      <w:pPr>
        <w:spacing w:after="0" w:line="62"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We are heavily reliant upon licenses to certain patent rights and proprietary technology from third parties that are important or necessary to the development of our technology and products, including technology related to our manufacturing process and our gene therapy product candidates. These and other licenses may not provide exclusive rights to use such intellectual property and technology in all relevant fields of use and in all territories in which we may wish to license our platform or develop or commercialize our technology and products in the future. As a result, we may not be able to prevent competitors from developing and commercializing competitive products in territories not included in all of our licenses. For example, under our license agreement with GSK, GSK retained certain exclusive and non-exclusive rights under the patent rights that it licensed from Penn.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Licenses to additional third-party technology that may be required for our licensing or development programs may not be available in the future or may not be available on commercially reasonable terms, or at all, which could materially harm our business and financial condition.</w:t>
      </w:r>
    </w:p>
    <w:p>
      <w:pPr>
        <w:spacing w:after="0" w:line="146"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third parties. For example, under our license agreement with Penn, Penn is entitled to control the preparation, prosecution and maintenance of the patent rights licensed to us. However, if we determine that we desire a greater degree of control over such patent rights, the Penn license agreement provides that Penn will work in good faith with us to enter into an arrangement for such additional control with reimbursement by us of certain expenses. If our licensors fail to maintain such patents, or lose rights to those patents or patent applications, the rights we have licensed may be reduced or eliminated and our right to develop and commercialize any of our products that are the subject of such licensed rights could be impacted. In addition to the foregoing, the risks associated with patent rights that we license from third parties will also apply to patent rights we may own in the future.</w:t>
      </w:r>
    </w:p>
    <w:p>
      <w:pPr>
        <w:spacing w:after="0" w:line="19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Furthermore, the research resulting in certain of our licensed patent rights and technology was funded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289"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license our NAV Technology Platform and commercialize our products and technology may be harmed.</w:t>
      </w:r>
    </w:p>
    <w:p>
      <w:pPr>
        <w:spacing w:after="0" w:line="4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NAV Technology Platform, our product candidates and our manufacturing technology. Our licensors have sought and we intend to seek to protect our proprietary position by filing patent applications in the United States and abroad related to many of our novel technologies and product candidates that are important to our business.</w:t>
      </w:r>
    </w:p>
    <w:p>
      <w:pPr>
        <w:spacing w:after="0" w:line="18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In addition, certain patents in the field of gene therapy that may have otherwise potentially provided patent protection for certain of our product candidates have expired or will soon expire. In some cases, the work of certain academic researchers in the gene therapy field has entered the public domain, which we believe precludes our ability to obtain patent protection for certain inventions relating to such work. It is also possible that we will fail to identify patentable aspects of our research and development output before it is too late to obtain patent protection.</w:t>
      </w:r>
    </w:p>
    <w:p>
      <w:pPr>
        <w:spacing w:after="0" w:line="192" w:lineRule="exact"/>
        <w:rPr>
          <w:sz w:val="20"/>
          <w:szCs w:val="20"/>
          <w:color w:val="auto"/>
        </w:rPr>
      </w:pPr>
    </w:p>
    <w:p>
      <w:pPr>
        <w:jc w:val="both"/>
        <w:ind w:right="80" w:firstLine="510"/>
        <w:spacing w:after="0" w:line="275" w:lineRule="auto"/>
        <w:rPr>
          <w:sz w:val="20"/>
          <w:szCs w:val="20"/>
          <w:color w:val="auto"/>
        </w:rPr>
      </w:pPr>
      <w:r>
        <w:rPr>
          <w:rFonts w:ascii="Arial" w:cs="Arial" w:eastAsia="Arial" w:hAnsi="Arial"/>
          <w:sz w:val="17"/>
          <w:szCs w:val="17"/>
          <w:color w:val="auto"/>
        </w:rPr>
        <w:t>We are a party to intellectual property license agreements with GSK and Penn, each of which is important to our business, and other entities and we expect to enter into additional license agreements in the future. Our existing license agreements impose, and we expect that future license agreements will impose, various diligence, development and commercialization timelines, milestone payments, royalties and other obligations on us. If we or our licensees or collaborators fail to comply with our obligations under these agreements, or we are subject to a bankruptcy, the licensor may have the right to terminate the license, in which event we would not be able to market products covered by the license.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For example, we have filed a complaint for patent infringement against Sarepta Therapeutics, Inc. arising from its use of cultured host cell technology, which we believe is claimed in a patent we licensed from Penn, to make gene therapy products to treat Duchenne muscular dystrophy and Limb-girdle muscular dystrophy, among other products. Additionally, we have filed a complaint for patent infringement against Aldevron, LLC arising from its manufacture of cultured host cells containing certain recombinant nucleic acid molecules, which we believe are protected by another patent we licensed from Penn. Our litigations against Sarepta and Aldevron will have uncertain outcomes and may not result in the patent enforcement we desire.</w:t>
      </w:r>
    </w:p>
    <w:p>
      <w:pPr>
        <w:spacing w:after="0" w:line="16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49"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w:t>
      </w:r>
    </w:p>
    <w:p>
      <w:pPr>
        <w:spacing w:after="0" w:line="157"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(the Hatch-Waxman Amendments) to conduct research and clinical trials and may be able to circumvent our patents by developing similar or alternative technologies or products in a non-infringing manner.</w:t>
      </w:r>
    </w:p>
    <w:p>
      <w:pPr>
        <w:spacing w:after="0" w:line="18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7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increase our financial or other obligations to our licensors or other parties, or decrease financial or other obligations of our licensees and collaborators.</w:t>
      </w:r>
    </w:p>
    <w:p>
      <w:pPr>
        <w:spacing w:after="0" w:line="76"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agreements under which we currently license intellectual property or technology from or to third parties, including our Collaboration and License Agreement with AbbVie,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what we believe to be the financial or other obligations of our licensee under the relevant agreement, any of which could materially harm our business, financial condition, results of operations and prospects.</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 example, we have received correspondence from GSK and Penn questioning the amount of sublicense fees paid by us in connection with certain license agreements as well as the applicable Zolgensma royalty rate category under our license agreement with GSK. If the resolution of any potential dispute over such issues of interpretation is adverse to us, we could owe greater payments to GSK or Penn than we had previously expected, which could materially harm our financial condition.</w:t>
      </w:r>
    </w:p>
    <w:p>
      <w:pPr>
        <w:spacing w:after="0" w:line="187"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We have entered into a royalty purchase agreement (the Purchase Agreement) with entities managed by Healthcare Royalty Management, LLC (collectively, HCR) providing for the acquisition by HCR of our interest in certain royalty payments based on net sales of Zolgensma. If it is determined that we owe greater royalty fees to GSK or Penn than we had previously expected based on our interpretation of the applicable license agreements, then pursuant to the Purchase Agreement, we would be obliged to compensate HCR such that their interest in certain royalty payments based on net sales of Zolgensma would not be reduced, which could materially harm our financial condition.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have entered into license agreements with third parties and may need to obtain additional licenses from others to advance our research, to expand our licensing program or to allow commercialization of our product candidates. It is possible that we may be unable to obtain additional licenses at a reasonable cost or on reasonable terms, if at all. In that event, we may be required to expend significant time and resources to redesign our technology or product candidates or the methods for manufacturing them or to develop or license replacement technology, all of which may not be feasible on a technical or commercial basis. If we are unable to do so, we may be unable to redesign our platform technology or to develop or commercialize the affected product candidates, which could materially harm our business. We cannot provide any assurances that third-party patents do not exist or will not be issued, which might be enforced against our current platform technology, manufacturing methods, product candidates or future methods or products, resulting in either an injunction prohibiting our licensing, manufacture or sales, or, with respect to our sales, an obligation on our part to pay royalties and/or other forms of compensation to third parties.</w:t>
      </w:r>
    </w:p>
    <w:p>
      <w:pPr>
        <w:spacing w:after="0" w:line="18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many of our existing license agreements, patent prosecution of our licensed technology is controlled primarily by the licensor, and we are required to reimburse the licensor for certain costs of patent prosecution and maintenance.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our license agreements, we could be responsible for bringing actions against any third party for infringing on the patents we have licensed. Certain of our license agreements in which we are the licensee also require us to meet development milestones to maintain the license, including establishing a set timeline for developing and commercializing products and minimum diligence obligations in developing and commercializing the product. Disputes may arise regarding intellectual property subject to a licensing agreement, including:</w:t>
      </w:r>
    </w:p>
    <w:p>
      <w:pPr>
        <w:spacing w:after="0" w:line="84"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or otherwise violate intellectual property of the licensor that is not subject to the licensing agreement;</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sublicensing and corresponding payment obligations of patent and other intellectual property rights under our collaborative development relationships;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our product candidates through acquisitions and in-licenses.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currently have rights to intellectual property, through licenses from third parties, to develop our product candidates. Because our programs may require the use of intellectual property or other proprietary rights held by third parties, the growth of our business may depend, in part, on our ability to acquire, in-license or use such intellectual property and proprietary rights. We may be unable to acquire or in-license any compositions, methods of use, processes (and patents for such technology) or other intellectual property rights from third parties that we identify as necessary for our technology platform and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license rights to us. We also may be unable to license or acquire third party intellectual property rights on terms that would allow us to make an appropriate return on our investment.</w:t>
      </w:r>
    </w:p>
    <w:p>
      <w:pPr>
        <w:spacing w:after="0" w:line="16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sometimes collaborate with non-profit and academic institutions to accelerate our preclinical research or development under written agreements with these institutions. Some of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the relevant program or product candidate and our business, financial condition, results of operations and prospects could suffer.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in the United States and throughout the world.</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Filing, prosecuting and defending patents on our platform technology or product candidates in all countries throughout the world would be prohibitively expensive, and our intellectual property rights in some countries outside the United States could be less extensive than those in the United States. Although our license agreements with GSK and Penn grant us worldwide rights, certain of our in-licensed U.S. patent rights lack corresponding foreign patents or patent applications.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or that our intellectual property is invalid or unenforceable. To counter infringement or unauthorized use claims or to defend against claims of infringement or other intellectual property related claims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materially harm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and other intellectual property litigation or proceedings could materially harm our ability to compete in the marketplace.</w:t>
      </w:r>
    </w:p>
    <w:p>
      <w:pPr>
        <w:spacing w:after="0" w:line="18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U.S. Patent and Trademark Office (the USPTO) and various patent agencies outside of the United States over the lifetime of our licensed patents and/or applications and any patent rights we may own or license in the future. We may rely on our licensing partners to pay these fees due to non-U.S. patent agencies with respect to our licensed patent rights. The USPTO and various non-U.S.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materially harm our business.</w:t>
      </w:r>
    </w:p>
    <w:p>
      <w:pPr>
        <w:spacing w:after="0" w:line="185"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We have registered trademarks with the USPTO, including for the marks “AAVIATE,” “NAV” and “REGENXBIO,” as well as for the REGENXBIO logos. Our trademarks or trade names may be challenged, infringed, circumvented or declared generic or determined to be infringing on other marks. We may not be able to protect our rights to these trademarks and trade names, which we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long-term, if we are unable to establish name recognition based on our trademarks and trade names, then we may not be able to compete effectively and our business may be harmed. Our efforts to enforce or protect our proprietary rights related to trademarks, trade secrets, domain names, copyrights or other intellectual property may be ineffective and could result in substantial costs and diversion of resources and could harm our financial condition or results of operations.</w:t>
      </w:r>
    </w:p>
    <w:p>
      <w:pPr>
        <w:spacing w:after="0" w:line="2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Issued patents covering our NAV Technology Platform or our product candidates could be found invalid or unenforceable if challenged in court. We may not be able to protect our trade secrets in court.</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 party to enforce a patent covering our NAV Technology Platform or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subject-matter eligibility, novelty, non-obviousness, written description or 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equivalent proceedings in foreign jurisdictions. Such proceedings could result in the revocation or cancellation of or amendment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patents in such a way that they no longer cover our NAV Technology Platform or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materially harm our business.</w:t>
      </w:r>
    </w:p>
    <w:p>
      <w:pPr>
        <w:spacing w:after="0" w:line="18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technology,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materially harm our business.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Our commercial success depends, in part, upon our ability to license our NAV Technology Platform, and upon our ability and our licensees’ and collaborators’ ability to develop, manufacture, market and sell products and use our proprietary technologies without infringing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harm our ability to license our technology platform or commercialize our lead product candidates or any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such U.S. patent. If we are found to infringe a third party’s valid and enforceable intellectual property rights, we could be required to obtain a license from such third party to continue licensing,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licensing,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licensing our technology platform or manufacturing and commercializing our product candidates or force us to cease some of our business operations, which could materially harm our business. Claims that we have misappropriated the confidential information or trade secrets of third parties could similarly harm our business, financial condition, results of operations and prospects.</w:t>
      </w:r>
    </w:p>
    <w:p>
      <w:pPr>
        <w:spacing w:after="0" w:line="29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On March 20, 2012, the Supreme Court issued a decision in Mayo Collaborative Services v. Prometheus Laboratories, Inc.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June 13, 2013, the Supreme Court issued its decision in Association for Molecular Pathology v. Myriad Genetics, Inc. (Myriad), a case involving patent claims held by Myriad relating to the breast cancer 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6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USPTO has issued a number of guidance memoranda and updates to instruct USPTO examiners on the ramifications of the Prometheus, Myriad and other court rulings and the application of the rulings to natural products and principles including all naturally occurring nucleic acids. USPTO guidance may be further updated in view of developments in the case law and in response to public feedback. Patents for certain of our product candidates contain claims related to specific DNA sequences that are naturally occurring and, therefore, could be the subject of future challenges made by third parties. In addition, USPTO guidance or changes in guidance or procedures issued by the USPTO could make it impossible for us to pursue similar patent claims in patent applications we may prosecute in the future.</w:t>
      </w:r>
    </w:p>
    <w:p>
      <w:pPr>
        <w:spacing w:after="0" w:line="178"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ongoing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materially harm our existing patent portfolio and our ability to protect and enforce our intellectual property in the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and data exclusivity for our product candidates, our business may be materially harmed.</w:t>
      </w:r>
    </w:p>
    <w:p>
      <w:pPr>
        <w:spacing w:after="0" w:line="117"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substantially, which makes our future operating results difficult to predict and could cause the price of our common stock to fluctuate substantially.</w:t>
      </w:r>
    </w:p>
    <w:p>
      <w:pPr>
        <w:spacing w:after="0" w:line="62"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We expect our operating results to be subject to fluctuations. Our net income or loss and other operating results may be affected by numerous factors, including:</w:t>
      </w:r>
    </w:p>
    <w:p>
      <w:pPr>
        <w:spacing w:after="0" w:line="62" w:lineRule="exact"/>
        <w:rPr>
          <w:sz w:val="20"/>
          <w:szCs w:val="20"/>
          <w:color w:val="auto"/>
        </w:rPr>
      </w:pPr>
    </w:p>
    <w:p>
      <w:pPr>
        <w:ind w:left="1000" w:right="34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variations in the level of expenses related to our NAV Technology Platform, lead product candidates or future product candidates and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addition or termination of any clinical trials and the timing and outcomes of clinical trials;</w:t>
      </w:r>
    </w:p>
    <w:p>
      <w:pPr>
        <w:spacing w:after="0" w:line="117"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regulatory or clinical developments affecting our lead product candidates, any future product candidates or our licensees’ product candidates;</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any payments we may make or receive under these arrangements;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partners;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nature and terms of any stock-based compensation grants;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intellectual property infringement lawsuits in which we may become involved;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we believe that comparing our operating results on a period-to-period basis is not necessarily meaningful. Investors should not rely on our past results as an indication of our future performance. This variability and unpredictability could also result in our failing to meet the expectations of securities or industry analysts or investors for any period. If our operating results fall below the expectations of investors or analysts, the price of our common stock could decline substantially. Furthermore, any quarterly or annual fluctuations in our operating results may, in turn, cause the price of our stock to fluctuate substantially. Such a stock price decline could occur even when we have met any previously publicly stated revenue or earnings guidance we have provided.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require us to relinquish proprietary rights.</w:t>
      </w:r>
    </w:p>
    <w:p>
      <w:pPr>
        <w:spacing w:after="0" w:line="14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have raised significant capital through public offerings of our common stock in order to fund our operations, which has caused dilution to our stockholders. We may seek to raise additional capital through public or private equity offerings, debt financings, strategic partnerships, licensing arrangements or other means. To the extent that we raise additional capital by issuing equity securities, the share ownership of existing stockholders will be diluted. Any future debt financing may involve covenants that restrict our operations, including limitations on our ability to incur liens or additional debt, pay dividends, redeem our stock, make certain investments or engage in certain merger, consolidation, or asset sale transactions. In addition, if we seek funds through arrangements with collaborative partners, these arrangements may require us to relinquish rights to some of our technologies or products or otherwise agree to terms unfavorable to us.</w:t>
      </w:r>
    </w:p>
    <w:p>
      <w:pPr>
        <w:spacing w:after="0" w:line="3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38"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9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Provisions in our restated certificate of incorporation and amended and restated bylaws and under Delaware law might discourage, delay or prevent a change in control of our company or changes in our board of directors and, therefore, depress our stock price.</w:t>
      </w:r>
    </w:p>
    <w:p>
      <w:pPr>
        <w:spacing w:after="0" w:line="38"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Our restated certificate of incorporation and amended and restated bylaws contain provisions that could depress the market price of our common stock by acting to discourage, delay or prevent a change in control of our company or changes in our board of directors that the stockholders of our company may deem advantageous. Among other things, these provisions:</w:t>
      </w:r>
    </w:p>
    <w:p>
      <w:pPr>
        <w:spacing w:after="0" w:line="76"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restated certificate of incorporation and amended and restated bylaws;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Section 203 of the Delaware General Corporation Law may discourage, delay or prevent a change in control of our company.</w:t>
      </w:r>
    </w:p>
    <w:p>
      <w:pPr>
        <w:spacing w:after="0" w:line="3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Section 203 imposes certain restrictions on merger, business combinations and other transactions between us and holders of 15% or more of our common stock.</w:t>
      </w:r>
    </w:p>
    <w:p>
      <w:pPr>
        <w:spacing w:after="0" w:line="2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Our restated certificate of incorporation includes exclusive forum clauses for certain litigation that may be initiated by our stockholders, which could limit our stockholders’ ability to obtain a favorable judicial forum for disputes with us or our directors, officers or employees.</w:t>
      </w:r>
    </w:p>
    <w:p>
      <w:pPr>
        <w:spacing w:after="0" w:line="16"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Pursuant to our restated certificate of incorporation, unless we consent in writing to the selection of an alternative forum, the Court of Chancery of the State of Delaware (or, if the Court of Chancery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restated certificate of incorporation or our amended and restated bylaws or (4) any action asserting a claim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w:t>
      </w:r>
    </w:p>
    <w:p>
      <w:pPr>
        <w:spacing w:after="0" w:line="2" w:lineRule="exact"/>
        <w:rPr>
          <w:sz w:val="20"/>
          <w:szCs w:val="20"/>
          <w:color w:val="auto"/>
        </w:rPr>
      </w:pPr>
    </w:p>
    <w:p>
      <w:pPr>
        <w:ind w:right="140" w:firstLine="8"/>
        <w:spacing w:after="0" w:line="255"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19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Additionally, our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w:t>
      </w:r>
    </w:p>
    <w:p>
      <w:pPr>
        <w:spacing w:after="0" w:line="187" w:lineRule="exact"/>
        <w:rPr>
          <w:sz w:val="20"/>
          <w:szCs w:val="20"/>
          <w:color w:val="auto"/>
        </w:rPr>
      </w:pPr>
    </w:p>
    <w:p>
      <w:pPr>
        <w:jc w:val="both"/>
        <w:ind w:right="200" w:firstLine="510"/>
        <w:spacing w:after="0" w:line="259" w:lineRule="auto"/>
        <w:rPr>
          <w:sz w:val="20"/>
          <w:szCs w:val="20"/>
          <w:color w:val="auto"/>
        </w:rPr>
      </w:pPr>
      <w:r>
        <w:rPr>
          <w:rFonts w:ascii="Arial" w:cs="Arial" w:eastAsia="Arial" w:hAnsi="Arial"/>
          <w:sz w:val="18"/>
          <w:szCs w:val="18"/>
          <w:color w:val="auto"/>
        </w:rPr>
        <w:t>The forum selection clauses in our restated certificate of incorporation may limit our stockholders’ ability to obtain a favorable judicial forum for disputes with us, our directors, officers or other employees. Alternatively, if a court were to find the choice of forum provisions contained in our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Proxy contests have been waged against many companies in the biopharmaceutical industry over the last several years, and proxy advisory firms may recommend changes to our business operations, provisions in our restated certificate of incorporation or amended and restated bylaws, or the composition of our board of directors or its committees. If faced with a proxy contest or other type of stockholder activism, or a proxy advisory firm recommendation that is adverse to a management proposal, we may not be able to respond successfully to the contest or dispute, which could be disruptive to our business. Even if we are successful, our business could be adversely affected by such a contest or dispute involving us or our partners because:</w:t>
      </w:r>
    </w:p>
    <w:p>
      <w:pPr>
        <w:spacing w:after="0" w:line="53" w:lineRule="exact"/>
        <w:rPr>
          <w:sz w:val="20"/>
          <w:szCs w:val="20"/>
          <w:color w:val="auto"/>
        </w:rPr>
      </w:pPr>
    </w:p>
    <w:p>
      <w:pPr>
        <w:ind w:left="1000" w:right="22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responding to proxy contests or other actions by activist stockholders, or adverse proxy advisory firm recommendations, can be costly and time-consuming, disrupting operations and diverting the attention of management and employees;</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perceived uncertainties as to future direction may result in the loss of potential acquisitions, collaborations or licensing opportunities, and may make it more difficult to attract and retain qualified personnel and business partners; and</w:t>
      </w:r>
    </w:p>
    <w:p>
      <w:pPr>
        <w:spacing w:after="0" w:line="62"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individuals are elected to our board of directors with a specific agenda, it may adversely affect our ability to effectively and timely implement our strategic plan and create additional value for our stockholders.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actions could cause our stock price to decrease and experience periods of increased volatility.</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During 2021 we moved into a new facility in Rockville, Maryland which now serves as our corporate, research and manufacturing headquarters. We occupy approximately 186,000 square feet of office, laboratory and manufacturing space at this location under a lease that expires in September 2036, subject to certain extension and termination options that we hold under the lease agreement. Construction of the manufacturing portion of the facility is currently ongoing and the facility is expected to be completed and operational in the first half of 2022.</w:t>
      </w:r>
    </w:p>
    <w:p>
      <w:pPr>
        <w:spacing w:after="0" w:line="171"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We also occupy approximately 50,000 square feet of office and laboratory space at other locations in Rockville, Maryland, and approximately 10,000 square feet of office space in New York, New York, under leases that expire at various dates through 2027, some of which are renewable for additional years.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facilities are adequate to meet our operating needs for the foreseeable future.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For information regarding our legal proceedings with Abeona Therapeutics Inc., please refer to Note 10, “License and Collaboration Agreements— License and Royalty Revenue—Abeona Therapeutics Inc.,” to the accompanying consolidated financial statements.</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160" w:right="340" w:hanging="1146"/>
        <w:spacing w:after="0" w:line="277"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traded on The Nasdaq Global Select Market under the symbol “RGNX.”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December 31, 2016 and December 31, 2021, with the cumulative total return of (a) the Nasdaq Composite Index and (b) the Nasdaq Biotechnology Index, over the same period. The figures below assume an investment of $100 in our common stock, the Nasdaq Composite Index and the Nasdaq Biotechnology Index at the closing price on December 31, 2016 and assumes the reinvestment of dividends, if any.</w:t>
      </w:r>
    </w:p>
    <w:p>
      <w:pPr>
        <w:spacing w:after="0" w:line="18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the Nasdaq Stock Market LLC, a financial data provider and a source believed to be reliable. The Nasdaq Stock Market LLC is not responsible for any errors or omissions in such information.</w:t>
      </w:r>
    </w:p>
    <w:p>
      <w:pPr>
        <w:spacing w:after="0" w:line="18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125730</wp:posOffset>
            </wp:positionV>
            <wp:extent cx="3600450" cy="2992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00450" cy="299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20" w:type="dxa"/>
            <w:vAlign w:val="bottom"/>
          </w:tcPr>
          <w:p>
            <w:pPr>
              <w:ind w:left="260"/>
              <w:spacing w:after="0"/>
              <w:rPr>
                <w:sz w:val="20"/>
                <w:szCs w:val="20"/>
                <w:color w:val="auto"/>
              </w:rPr>
            </w:pPr>
            <w:r>
              <w:rPr>
                <w:rFonts w:ascii="Arial" w:cs="Arial" w:eastAsia="Arial" w:hAnsi="Arial"/>
                <w:sz w:val="13"/>
                <w:szCs w:val="13"/>
                <w:b w:val="1"/>
                <w:bCs w:val="1"/>
                <w:color w:val="auto"/>
                <w:w w:val="98"/>
              </w:rPr>
              <w:t>$100 investment in stock or index</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2016</w:t>
            </w:r>
          </w:p>
        </w:tc>
        <w:tc>
          <w:tcPr>
            <w:tcW w:w="100" w:type="dxa"/>
            <w:vAlign w:val="bottom"/>
          </w:tcPr>
          <w:p>
            <w:pPr>
              <w:spacing w:after="0"/>
              <w:rPr>
                <w:sz w:val="13"/>
                <w:szCs w:val="13"/>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w w:val="85"/>
              </w:rPr>
              <w:t>December 31, 2017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b w:val="1"/>
                <w:bCs w:val="1"/>
                <w:color w:val="auto"/>
                <w:w w:val="85"/>
              </w:rPr>
              <w:t>December 31, 2018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b w:val="1"/>
                <w:bCs w:val="1"/>
                <w:color w:val="auto"/>
                <w:w w:val="85"/>
              </w:rPr>
              <w:t>December 31, 2019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December 31, 2020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r>
      <w:tr>
        <w:trPr>
          <w:trHeight w:val="223"/>
        </w:trPr>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REGENXBIO Inc.</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NASDAQ Composite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NASDAQ Biotechnology</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r>
      <w:tr>
        <w:trPr>
          <w:trHeight w:val="432"/>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835"/>
              <w:spacing w:after="0"/>
              <w:rPr>
                <w:sz w:val="20"/>
                <w:szCs w:val="20"/>
                <w:color w:val="auto"/>
              </w:rPr>
            </w:pPr>
            <w:r>
              <w:rPr>
                <w:rFonts w:ascii="Arial" w:cs="Arial" w:eastAsia="Arial" w:hAnsi="Arial"/>
                <w:sz w:val="18"/>
                <w:szCs w:val="18"/>
                <w:color w:val="auto"/>
                <w:w w:val="99"/>
              </w:rPr>
              <w:t>63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February 24, 2022, there were five holders of record of our common stock. The actual number of stockholders is greater than this number of record holders, as stockholders who are beneficial owners of our common stock hold such shares in street name through brokers and other nominees that are record holders of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declared or paid any cash dividends on our common stock since our inception. We do not plan to pay dividends in the foreseeable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audited financial statements and the notes thereto included elsewhere in this Annual Report on Form 10-K. In addition, you should read the “Risk Factors” and “Information Regarding Forward-Looking Statements” sections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8"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i w:val="1"/>
          <w:iCs w:val="1"/>
          <w:color w:val="auto"/>
        </w:rPr>
        <w:t>For a full discussion and analysis of financial condition and results of operations for the year ended December 31, 2020, including a year-over-year comparison to the year ended December 31, 2019, please read the “Management's Discussion and Analysis of Financial Condition and Results of Operations” section of our Annual Report on Form 10-K for the year ended December 31, 2020, which we filed with the SEC on March 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Product Candidates</w:t>
      </w:r>
    </w:p>
    <w:p>
      <w:pPr>
        <w:spacing w:after="0" w:line="117" w:lineRule="exact"/>
        <w:rPr>
          <w:sz w:val="20"/>
          <w:szCs w:val="20"/>
          <w:color w:val="auto"/>
        </w:rPr>
      </w:pPr>
    </w:p>
    <w:p>
      <w:pPr>
        <w:ind w:right="180" w:firstLine="508"/>
        <w:spacing w:after="0" w:line="277" w:lineRule="auto"/>
        <w:rPr>
          <w:sz w:val="20"/>
          <w:szCs w:val="20"/>
          <w:color w:val="auto"/>
        </w:rPr>
      </w:pPr>
      <w:r>
        <w:rPr>
          <w:rFonts w:ascii="Arial" w:cs="Arial" w:eastAsia="Arial" w:hAnsi="Arial"/>
          <w:sz w:val="18"/>
          <w:szCs w:val="18"/>
          <w:color w:val="auto"/>
        </w:rPr>
        <w:t>We have developed a broad pipeline of gene therapy programs using our proprietary adeno-associated virus (AAV) gene therapy delivery platform (NAV Technology Platform) to address genetic diseases. Our programs and product candidates are described below:</w:t>
      </w:r>
    </w:p>
    <w:p>
      <w:pPr>
        <w:spacing w:after="0" w:line="166" w:lineRule="exact"/>
        <w:rPr>
          <w:sz w:val="20"/>
          <w:szCs w:val="20"/>
          <w:color w:val="auto"/>
        </w:rPr>
      </w:pPr>
    </w:p>
    <w:p>
      <w:pPr>
        <w:ind w:left="1000" w:hanging="493"/>
        <w:spacing w:after="0" w:line="277"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RGX-314: </w:t>
      </w:r>
      <w:r>
        <w:rPr>
          <w:rFonts w:ascii="Arial" w:cs="Arial" w:eastAsia="Arial" w:hAnsi="Arial"/>
          <w:sz w:val="17"/>
          <w:szCs w:val="17"/>
          <w:color w:val="auto"/>
        </w:rPr>
        <w:t>We are developing RGX-314 in collaboration with AbbVie as a potential one-time treatment for wet age-related macular</w:t>
      </w:r>
      <w:r>
        <w:rPr>
          <w:rFonts w:ascii="Arial" w:cs="Arial" w:eastAsia="Arial" w:hAnsi="Arial"/>
          <w:sz w:val="17"/>
          <w:szCs w:val="17"/>
          <w:b w:val="1"/>
          <w:bCs w:val="1"/>
          <w:color w:val="auto"/>
        </w:rPr>
        <w:t xml:space="preserve"> </w:t>
      </w:r>
      <w:r>
        <w:rPr>
          <w:rFonts w:ascii="Arial" w:cs="Arial" w:eastAsia="Arial" w:hAnsi="Arial"/>
          <w:sz w:val="17"/>
          <w:szCs w:val="17"/>
          <w:color w:val="auto"/>
        </w:rPr>
        <w:t>degeneration (wet AMD), diabetic retinopathy (DR) and other additional chronic retinal conditions which cause total or partial vision loss. We are evaluating two separate routes of administration of RGX-314 to the eye: a subretinal delivery procedure as well as a targeted, in-office administration to the suprachoroidal space. We have licensed certain exclusive rights to the SCS Microinjector</w:t>
      </w:r>
      <w:r>
        <w:rPr>
          <w:rFonts w:ascii="Arial" w:cs="Arial" w:eastAsia="Arial" w:hAnsi="Arial"/>
          <w:sz w:val="14"/>
          <w:szCs w:val="14"/>
          <w:color w:val="auto"/>
        </w:rPr>
        <w:t>®</w:t>
      </w:r>
      <w:r>
        <w:rPr>
          <w:rFonts w:ascii="Arial" w:cs="Arial" w:eastAsia="Arial" w:hAnsi="Arial"/>
          <w:sz w:val="17"/>
          <w:szCs w:val="17"/>
          <w:color w:val="auto"/>
        </w:rPr>
        <w:t xml:space="preserve"> from Clearside Biomedical, Inc. (Clearside) to deliver gene therapy treatments to the suprachoroidal space of the eye.</w:t>
      </w:r>
    </w:p>
    <w:p>
      <w:pPr>
        <w:spacing w:after="0" w:line="63" w:lineRule="exact"/>
        <w:rPr>
          <w:rFonts w:ascii="Arial" w:cs="Arial" w:eastAsia="Arial" w:hAnsi="Arial"/>
          <w:sz w:val="17"/>
          <w:szCs w:val="17"/>
          <w:color w:val="auto"/>
        </w:rPr>
      </w:pPr>
    </w:p>
    <w:p>
      <w:pPr>
        <w:ind w:left="1020" w:right="80"/>
        <w:spacing w:after="0" w:line="273" w:lineRule="auto"/>
        <w:rPr>
          <w:rFonts w:ascii="Arial" w:cs="Arial" w:eastAsia="Arial" w:hAnsi="Arial"/>
          <w:sz w:val="17"/>
          <w:szCs w:val="17"/>
          <w:color w:val="auto"/>
        </w:rPr>
      </w:pPr>
      <w:r>
        <w:rPr>
          <w:rFonts w:ascii="Arial" w:cs="Arial" w:eastAsia="Arial" w:hAnsi="Arial"/>
          <w:sz w:val="17"/>
          <w:szCs w:val="17"/>
          <w:color w:val="auto"/>
        </w:rPr>
        <w:t>We have initiated two pivotal trials, ATMOSPHERE™ and ASCENT™, for the treatment of wet AMD using RGX-314 delivered subretinally, and we expect these pivotal trials to support a Biologics Licensing Application (BLA) submission in 2024. ATMOSPHERE and ASCENT are multi-center, randomized, active-controlled trials to evaluate the efficacy and safety of a single-administration of RGX-314 versus standard of care in patients with wet AMD. Both trials are active and enrolling patients. We initiated the pivotal program using cGMP material produced from our existing manufacturing process and plan to incorporate our scalable suspension cell culture manufacturing process to support future commercialization, upon completion of a bridging study.</w:t>
      </w:r>
    </w:p>
    <w:p>
      <w:pPr>
        <w:spacing w:after="0" w:line="69" w:lineRule="exact"/>
        <w:rPr>
          <w:rFonts w:ascii="Arial" w:cs="Arial" w:eastAsia="Arial" w:hAnsi="Arial"/>
          <w:sz w:val="17"/>
          <w:szCs w:val="17"/>
          <w:color w:val="auto"/>
        </w:rPr>
      </w:pPr>
    </w:p>
    <w:p>
      <w:pPr>
        <w:ind w:left="1020" w:right="80"/>
        <w:spacing w:after="0" w:line="277" w:lineRule="auto"/>
        <w:rPr>
          <w:rFonts w:ascii="Arial" w:cs="Arial" w:eastAsia="Arial" w:hAnsi="Arial"/>
          <w:sz w:val="17"/>
          <w:szCs w:val="17"/>
          <w:color w:val="auto"/>
        </w:rPr>
      </w:pPr>
      <w:r>
        <w:rPr>
          <w:rFonts w:ascii="Arial" w:cs="Arial" w:eastAsia="Arial" w:hAnsi="Arial"/>
          <w:sz w:val="18"/>
          <w:szCs w:val="18"/>
          <w:color w:val="auto"/>
        </w:rPr>
        <w:t>We are also evaluating the efficacy, safety and tolerability of suprachoroidal delivery of RGX-314 through AAVIATE®, a multi-center, open label, randomized, controlled, dose-escalation Phase II trial of RGX-314 for the treatment of wet AMD.</w:t>
      </w:r>
    </w:p>
    <w:p>
      <w:pPr>
        <w:spacing w:after="0" w:line="62" w:lineRule="exact"/>
        <w:rPr>
          <w:rFonts w:ascii="Arial" w:cs="Arial" w:eastAsia="Arial" w:hAnsi="Arial"/>
          <w:sz w:val="17"/>
          <w:szCs w:val="17"/>
          <w:color w:val="auto"/>
        </w:rPr>
      </w:pPr>
    </w:p>
    <w:p>
      <w:pPr>
        <w:ind w:left="1020" w:right="460"/>
        <w:spacing w:after="0" w:line="277" w:lineRule="auto"/>
        <w:rPr>
          <w:rFonts w:ascii="Arial" w:cs="Arial" w:eastAsia="Arial" w:hAnsi="Arial"/>
          <w:sz w:val="17"/>
          <w:szCs w:val="17"/>
          <w:color w:val="auto"/>
        </w:rPr>
      </w:pPr>
      <w:r>
        <w:rPr>
          <w:rFonts w:ascii="Arial" w:cs="Arial" w:eastAsia="Arial" w:hAnsi="Arial"/>
          <w:sz w:val="18"/>
          <w:szCs w:val="18"/>
          <w:color w:val="auto"/>
        </w:rPr>
        <w:t>RGX-314 is also being evaluated in ALTITUDE</w:t>
      </w:r>
      <w:r>
        <w:rPr>
          <w:rFonts w:ascii="Arial" w:cs="Arial" w:eastAsia="Arial" w:hAnsi="Arial"/>
          <w:sz w:val="15"/>
          <w:szCs w:val="15"/>
          <w:color w:val="auto"/>
        </w:rPr>
        <w:t>TM</w:t>
      </w:r>
      <w:r>
        <w:rPr>
          <w:rFonts w:ascii="Arial" w:cs="Arial" w:eastAsia="Arial" w:hAnsi="Arial"/>
          <w:sz w:val="18"/>
          <w:szCs w:val="18"/>
          <w:color w:val="auto"/>
        </w:rPr>
        <w:t>, a multi-center, open label, randomized, controlled, dose-escalation Phase II trial to evaluate the efficacy, safety and tolerability of RGX-314 for the treatment of DR.</w:t>
      </w:r>
    </w:p>
    <w:p>
      <w:pPr>
        <w:spacing w:after="0" w:line="58" w:lineRule="exact"/>
        <w:rPr>
          <w:rFonts w:ascii="Arial" w:cs="Arial" w:eastAsia="Arial" w:hAnsi="Arial"/>
          <w:sz w:val="17"/>
          <w:szCs w:val="17"/>
          <w:color w:val="auto"/>
        </w:rPr>
      </w:pPr>
    </w:p>
    <w:p>
      <w:pPr>
        <w:ind w:left="1000" w:right="140" w:hanging="493"/>
        <w:spacing w:after="0" w:line="261"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RGX-202: </w:t>
      </w:r>
      <w:r>
        <w:rPr>
          <w:rFonts w:ascii="Arial" w:cs="Arial" w:eastAsia="Arial" w:hAnsi="Arial"/>
          <w:sz w:val="18"/>
          <w:szCs w:val="18"/>
          <w:color w:val="auto"/>
        </w:rPr>
        <w:t>We are developing RGX-202 for the treatment of Duchenne muscular dystrophy (Duchenne), a rare disease caused by mutations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gene responsible for making dystrophin, a protein of central importance for muscle cell structure and function. Without dystrophin, muscles throughout the body degenerate and become weak, eventually leading to loss of movement and independence, required support for breathing, cardiomyopathy and premature death.</w:t>
      </w:r>
    </w:p>
    <w:p>
      <w:pPr>
        <w:spacing w:after="0" w:line="75" w:lineRule="exact"/>
        <w:rPr>
          <w:rFonts w:ascii="Arial" w:cs="Arial" w:eastAsia="Arial" w:hAnsi="Arial"/>
          <w:sz w:val="18"/>
          <w:szCs w:val="18"/>
          <w:color w:val="auto"/>
        </w:rPr>
      </w:pPr>
    </w:p>
    <w:p>
      <w:pPr>
        <w:ind w:left="1020" w:right="220"/>
        <w:spacing w:after="0" w:line="259" w:lineRule="auto"/>
        <w:rPr>
          <w:rFonts w:ascii="Arial" w:cs="Arial" w:eastAsia="Arial" w:hAnsi="Arial"/>
          <w:sz w:val="18"/>
          <w:szCs w:val="18"/>
          <w:color w:val="auto"/>
        </w:rPr>
      </w:pPr>
      <w:r>
        <w:rPr>
          <w:rFonts w:ascii="Arial" w:cs="Arial" w:eastAsia="Arial" w:hAnsi="Arial"/>
          <w:sz w:val="18"/>
          <w:szCs w:val="18"/>
          <w:color w:val="auto"/>
        </w:rPr>
        <w:t>We have received clearance of our Investigational New Drug (IND) application by the U.S. Food and Drug Administration (the FDA) to evaluate RGX-202 in a first-in-human, Phase I/II clinical trial named AFFINITY DUCHENNE</w:t>
      </w:r>
      <w:r>
        <w:rPr>
          <w:rFonts w:ascii="Arial" w:cs="Arial" w:eastAsia="Arial" w:hAnsi="Arial"/>
          <w:sz w:val="15"/>
          <w:szCs w:val="15"/>
          <w:color w:val="auto"/>
        </w:rPr>
        <w:t>TM</w:t>
      </w:r>
      <w:r>
        <w:rPr>
          <w:rFonts w:ascii="Arial" w:cs="Arial" w:eastAsia="Arial" w:hAnsi="Arial"/>
          <w:sz w:val="18"/>
          <w:szCs w:val="18"/>
          <w:color w:val="auto"/>
        </w:rPr>
        <w:t>, which is expected to initiate in the first half of 2022. This will be a multicenter, open-label dose escalation and dose expansion clinical study to evaluate the safety, tolerability and clinical efficacy of RGX-202 in patients with Duchenne.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both"/>
        <w:ind w:left="1000" w:right="80" w:hanging="493"/>
        <w:spacing w:after="0" w:line="347"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RGX-121: </w:t>
      </w:r>
      <w:r>
        <w:rPr>
          <w:rFonts w:ascii="Arial" w:cs="Arial" w:eastAsia="Arial" w:hAnsi="Arial"/>
          <w:sz w:val="16"/>
          <w:szCs w:val="16"/>
          <w:color w:val="auto"/>
        </w:rPr>
        <w:t>We are developing RGX-121 for the treatment of Mucopolysaccharidosis Type II (MPS II), a rare disease caused by a deficiency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w:t>
      </w:r>
      <w:r>
        <w:rPr>
          <w:rFonts w:ascii="Arial" w:cs="Arial" w:eastAsia="Arial" w:hAnsi="Arial"/>
          <w:sz w:val="16"/>
          <w:szCs w:val="16"/>
          <w:i w:val="1"/>
          <w:iCs w:val="1"/>
          <w:color w:val="auto"/>
        </w:rPr>
        <w:t>IDS</w:t>
      </w:r>
      <w:r>
        <w:rPr>
          <w:rFonts w:ascii="Arial" w:cs="Arial" w:eastAsia="Arial" w:hAnsi="Arial"/>
          <w:sz w:val="16"/>
          <w:szCs w:val="16"/>
          <w:color w:val="auto"/>
        </w:rPr>
        <w:t xml:space="preserve"> gene which encodes I2S, an enzyme that is responsible for the breakdown of structures that dispose of waste products inside cells.</w:t>
      </w:r>
    </w:p>
    <w:p>
      <w:pPr>
        <w:spacing w:after="0" w:line="11" w:lineRule="exact"/>
        <w:rPr>
          <w:rFonts w:ascii="Arial" w:cs="Arial" w:eastAsia="Arial" w:hAnsi="Arial"/>
          <w:sz w:val="16"/>
          <w:szCs w:val="16"/>
          <w:color w:val="auto"/>
        </w:rPr>
      </w:pPr>
    </w:p>
    <w:p>
      <w:pPr>
        <w:jc w:val="both"/>
        <w:ind w:left="1020" w:right="40"/>
        <w:spacing w:after="0" w:line="342" w:lineRule="auto"/>
        <w:rPr>
          <w:rFonts w:ascii="Arial" w:cs="Arial" w:eastAsia="Arial" w:hAnsi="Arial"/>
          <w:sz w:val="16"/>
          <w:szCs w:val="16"/>
          <w:color w:val="auto"/>
        </w:rPr>
      </w:pPr>
      <w:r>
        <w:rPr>
          <w:rFonts w:ascii="Arial" w:cs="Arial" w:eastAsia="Arial" w:hAnsi="Arial"/>
          <w:sz w:val="16"/>
          <w:szCs w:val="16"/>
          <w:color w:val="auto"/>
        </w:rPr>
        <w:t>We are conducting a Phase I/II trial of RGX-121 in patients with MPS II under the age of 5 years old to evaluate the safety and tolerability of RGX-121, as well as the effects of RGX-121 on biomarkers of I2S enzyme activity, neurocognitive development and other clinical measures.</w:t>
      </w:r>
    </w:p>
    <w:p>
      <w:pPr>
        <w:spacing w:after="0" w:line="15" w:lineRule="exact"/>
        <w:rPr>
          <w:rFonts w:ascii="Arial" w:cs="Arial" w:eastAsia="Arial" w:hAnsi="Arial"/>
          <w:sz w:val="16"/>
          <w:szCs w:val="16"/>
          <w:color w:val="auto"/>
        </w:rPr>
      </w:pPr>
    </w:p>
    <w:p>
      <w:pPr>
        <w:ind w:left="1020" w:right="120"/>
        <w:spacing w:after="0" w:line="263" w:lineRule="auto"/>
        <w:rPr>
          <w:rFonts w:ascii="Arial" w:cs="Arial" w:eastAsia="Arial" w:hAnsi="Arial"/>
          <w:sz w:val="16"/>
          <w:szCs w:val="16"/>
          <w:color w:val="auto"/>
        </w:rPr>
      </w:pPr>
      <w:r>
        <w:rPr>
          <w:rFonts w:ascii="Arial" w:cs="Arial" w:eastAsia="Arial" w:hAnsi="Arial"/>
          <w:sz w:val="18"/>
          <w:szCs w:val="18"/>
          <w:color w:val="auto"/>
        </w:rPr>
        <w:t>In addition, we are evaluating RGX-121 in a second Phase I/II trial for the treatment of pediatric patients with MPS II ages 5-18 years old to evaluate the safety of a single administration of RGX-121, the effects of RGX-121 on biomarkers of I2S enzyme activity, and changes in cognitive function, adaptive behavior, daily function and quality of life.</w:t>
      </w:r>
    </w:p>
    <w:p>
      <w:pPr>
        <w:spacing w:after="0" w:line="71" w:lineRule="exact"/>
        <w:rPr>
          <w:rFonts w:ascii="Arial" w:cs="Arial" w:eastAsia="Arial" w:hAnsi="Arial"/>
          <w:sz w:val="16"/>
          <w:szCs w:val="16"/>
          <w:color w:val="auto"/>
        </w:rPr>
      </w:pPr>
    </w:p>
    <w:p>
      <w:pPr>
        <w:ind w:left="1000" w:right="280" w:hanging="493"/>
        <w:spacing w:after="0" w:line="282"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RGX-111: </w:t>
      </w:r>
      <w:r>
        <w:rPr>
          <w:rFonts w:ascii="Arial" w:cs="Arial" w:eastAsia="Arial" w:hAnsi="Arial"/>
          <w:sz w:val="18"/>
          <w:szCs w:val="18"/>
          <w:color w:val="auto"/>
        </w:rPr>
        <w:t>We are developing RGX-111 for the treatment of Mucopolysaccharidosis Type I (MPS I), a rare disease caused by a deficiency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of IDUA, an enzyme required for the breakdown of structures that dispose of waste products inside cells.</w:t>
      </w:r>
    </w:p>
    <w:p>
      <w:pPr>
        <w:spacing w:after="0" w:line="57" w:lineRule="exact"/>
        <w:rPr>
          <w:rFonts w:ascii="Arial" w:cs="Arial" w:eastAsia="Arial" w:hAnsi="Arial"/>
          <w:sz w:val="18"/>
          <w:szCs w:val="18"/>
          <w:color w:val="auto"/>
        </w:rPr>
      </w:pPr>
    </w:p>
    <w:p>
      <w:pPr>
        <w:ind w:left="1020" w:right="260"/>
        <w:spacing w:after="0" w:line="308" w:lineRule="auto"/>
        <w:rPr>
          <w:rFonts w:ascii="Arial" w:cs="Arial" w:eastAsia="Arial" w:hAnsi="Arial"/>
          <w:sz w:val="18"/>
          <w:szCs w:val="18"/>
          <w:color w:val="auto"/>
        </w:rPr>
      </w:pPr>
      <w:r>
        <w:rPr>
          <w:rFonts w:ascii="Arial" w:cs="Arial" w:eastAsia="Arial" w:hAnsi="Arial"/>
          <w:sz w:val="17"/>
          <w:szCs w:val="17"/>
          <w:color w:val="auto"/>
        </w:rPr>
        <w:t>We are conducting a Phase I/II clinical trial in patients with MPS I to evaluate the safety, tolerability and pharmacodynamics of RGX-111, as well as the effects of RGX-111 on biomarkers of IDUA activity, neurocognitive development and other outcome measures.</w:t>
      </w:r>
    </w:p>
    <w:p>
      <w:pPr>
        <w:spacing w:after="0" w:line="34" w:lineRule="exact"/>
        <w:rPr>
          <w:rFonts w:ascii="Arial" w:cs="Arial" w:eastAsia="Arial" w:hAnsi="Arial"/>
          <w:sz w:val="18"/>
          <w:szCs w:val="18"/>
          <w:color w:val="auto"/>
        </w:rPr>
      </w:pPr>
    </w:p>
    <w:p>
      <w:pPr>
        <w:ind w:left="1000" w:right="260" w:hanging="493"/>
        <w:spacing w:after="0" w:line="282"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RGX-181: </w:t>
      </w:r>
      <w:r>
        <w:rPr>
          <w:rFonts w:ascii="Arial" w:cs="Arial" w:eastAsia="Arial" w:hAnsi="Arial"/>
          <w:sz w:val="18"/>
          <w:szCs w:val="18"/>
          <w:color w:val="auto"/>
        </w:rPr>
        <w:t>We are developing RGX-181 for the treatment of late-infantile neuronal ceroid lipofuscinosis type 2 (CLN2) disease, a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Batten disease, caused by mutations in the </w:t>
      </w:r>
      <w:r>
        <w:rPr>
          <w:rFonts w:ascii="Arial" w:cs="Arial" w:eastAsia="Arial" w:hAnsi="Arial"/>
          <w:sz w:val="18"/>
          <w:szCs w:val="18"/>
          <w:i w:val="1"/>
          <w:iCs w:val="1"/>
          <w:color w:val="auto"/>
        </w:rPr>
        <w:t>tripeptidyl peptidase 1 (TPP1)</w:t>
      </w:r>
      <w:r>
        <w:rPr>
          <w:rFonts w:ascii="Arial" w:cs="Arial" w:eastAsia="Arial" w:hAnsi="Arial"/>
          <w:sz w:val="18"/>
          <w:szCs w:val="18"/>
          <w:color w:val="auto"/>
        </w:rPr>
        <w:t xml:space="preserve"> gene.</w:t>
      </w:r>
    </w:p>
    <w:p>
      <w:pPr>
        <w:spacing w:after="0" w:line="53"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RGX-381: </w:t>
      </w:r>
      <w:r>
        <w:rPr>
          <w:rFonts w:ascii="Arial" w:cs="Arial" w:eastAsia="Arial" w:hAnsi="Arial"/>
          <w:sz w:val="18"/>
          <w:szCs w:val="18"/>
          <w:color w:val="auto"/>
        </w:rPr>
        <w:t>We are developing RGX-381 for the treatment of the ocular manifestations of CLN2 disease.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NAV Technology Platform</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to our internal product development efforts, we also selectively license the NAV Technology Platform to other leading biotechnology and pharmaceutical companies, which we refer to as NAV Technology Licensees. As of December 31, 2021, our NAV Technology Platform was being applied in one FDA approved product (Zolgensma®), and the preclinical and clinical development of a number of partnered programs. Licensing the NAV Technology Platform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are continuing to actively monitor the impact of the COVID-19 pandemic, including the emergence of variant strains, on our business, results of operations and financial condition. Our offices, laboratories, clinical trial sites, prospective clinical trial sites, contract research organizations (CROs), contract manufacturing organizations (CMOs) and other collaborators and partners are located in jurisdictions where quarantines, executive orders, shelter-in-place orders, guidelines, and other similar orders and restrictions intended to control the spread of the disease have been put in place by governmental authorities. At certain times during the COVID-19 pandemic, we have implemented a work-from-home policy for all employees who are not essential to be onsite, and we may take additional actions that alter our operations, as may be required by federal, state or local authorities or which we determine are in the best interests of our employees.</w:t>
      </w:r>
    </w:p>
    <w:p>
      <w:pPr>
        <w:spacing w:after="0" w:line="17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COVID-19 pandemic has caused delays to our clinical trials and may further delay or prevent us from proceeding with our clinical trials. Our other business initiatives, such as preclinical development and manufacturing operations, may also be affected by the COVID-19 pandemic. For example, the construction of our current good manufacturing practice production facility has been delayed from our original estimates, and may be delayed further, due to various government orders and restrictions relating to the COVID-19 pandemic. In addition, if the business and operations of our licensees are adversely affected by the COVID-19 pandemic, our revenues could in turn be adversely affected. We are proactively taking measures to mitigate or reduce any adverse impact of the COVID-19 pandemic on the progress of our clinical trials and other business initiatives.</w:t>
      </w:r>
    </w:p>
    <w:p>
      <w:pPr>
        <w:spacing w:after="0" w:line="17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Our results of operations for the years ended December 31, 2021 and 2020 were not significantly impacted by the COVID-19 pandemic. However, the full extent to which the COVID-19 pandemic will directly or indirectly impact our business, results of operations and financial condition in the future is unknown at this time and will depend on future developments that are highly unpredictable. Please refer to the “Risk Factors” section of this Annual Report on Form 10-K for further discussion of the risks we face as a result of the COVID-19 pandemic.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revenues to date consist primarily of license and royalty revenue resulting from the licensing of our NAV Technology Platform and other intellectual property rights. We have not generated any revenues from commercial sales of our own products. If we fail to complete the development of our product candidates in a timely manner or obtain regulatory approval and adequate labeling, our ability to generate future revenues will be materially compromised.</w:t>
      </w:r>
    </w:p>
    <w:p>
      <w:pPr>
        <w:spacing w:after="0" w:line="18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license our NAV Technology Platform and other intellectual property rights to other biotechnology and pharmaceutical companies, including collaborators for the joint development and commercialization of our product candidates. The terms of the licenses vary, and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the NAV Technology Platform and other licensed rights. License agreements generally have a term at least equal to the life of the underlying patents, but are terminable at the option of the licensee. Consideration from licensees under our license agreements may include: (i) up-front and annual fees, (ii) milestone payments based on the achievement of certain development and sales-based milestones, (iii) sublicense fees, (iv) royalties on sales of licensed products and (v) other consideration payable upon optional goods and services purchased by licensees.</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Future license and royalty revenues are dependent on the successful development and commercialization of licensed products, which is uncertain, and revenues may fluctuate significantly from period to period. Additionally, we may never receive consideration in our license agreements that is contemplated on option fees, development and sales-based milestone payments, royalties on sales of licensed products or sublicense fees, given the contingent nature of these payments. Our revenues are concentrated among a low number of licensees and licenses are terminable at the option of the licensee. The termination of our licenses by licensees may materially impact the amount of revenue we recognize in future periods. Please refer to Note 2 to our audited consolidated financial statements appearing elsewhere in this Annual Report on Form 10-K for a description of segment and geographical information regarding our revenues.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Zolgensma Royalties</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Royalty revenue to date consists primarily of royalties on net sales of Zolgensma, which is marketed by Novartis Gene Therapies, Inc. (formerly AveXis, Inc.) (Novartis Gene Therapies), a wholly owned subsidiary of Novartis AG (Novartis), for the treatment of spinal muscular atrophy (SMA). Zolgensma is a licensed product under our license agreement with Novartis Gene Therapies for the development and commercialization of treatments for SMA.</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and License Agreement with AbbVie</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September 2021, we entered into a collaboration and license agreement with AbbVie Global Enterprises Ltd. (AbbVie), a subsidiary of AbbVie Inc., to jointly develop and commercialize RGX-314 (the AbbVie Collaboration Agreement). The AbbVie Collaboration Agreement became effective in November 2021. We recognized license and royalty revenue of $370.0 million under the collaboration during the year ended December 31, 2021, and the collaboration may materially impact our future revenues, research and development expenses, other operating expenses and operating cash flows associated with the development and commercialization of RGX-314. For additional information regarding the AbbVie Collaboration Agreement, please refer to Note 10, “License and Collaboration Agreements—AbbVie Global Enterprises Ltd.” to the accompanying audited consolidated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operating expenses consist primarily of cost of revenues, research and development expenses and general and administrative expenses. Personnel costs including salaries, benefits, bonuses and stock-based compensation expense, comprise a significant component of research and development and general and administrative expenses. We allocate indirect expenses associated with our facilities, information technology costs, depreciation and other overhead costs between research and development and general and administrative categories based on employee headcount and the nature of work performed by each employee.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cost of revenues consists primarily of upstream fees due to our licensors as a result of revenue generated from the licensing of our NAV Technology Platform and other intellectual property rights, including sublicense fees, milestone payments and royalties on net sales of licensed products. Sublicense fees are based on a percentage of license fees received by us from licensees and are recognized in the period that the underlying license revenue is recognized. Milestone payments are payable to licensors upon the achievement of specified milestones by licensees and are recognized in the period the milestone is achieved or deemed probable of achievement. Royalties are based on a percentage of net sales of licensed products by licensees and are recognized in the period that the underlying sales occur. Future costs of revenues are uncertain due to the nature of our license agreements and significant fluctuations in cost of revenues may occur from period to period.</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17" w:lineRule="exact"/>
        <w:rPr>
          <w:sz w:val="20"/>
          <w:szCs w:val="20"/>
          <w:color w:val="auto"/>
        </w:rPr>
      </w:pPr>
    </w:p>
    <w:p>
      <w:pPr>
        <w:ind w:left="1000" w:right="40" w:hanging="493"/>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Salaries, wages and personnel-related costs, including benefits, travel and stock-based compensation, for our scientific personnel performing research and development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related to executing preclinical studies and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related to acquiring, developing and manufacturing materials for preclinical studies and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fees paid to consultants and other third-parties who support our product candidate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costs in seeking regulatory approval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direct costs and allocated costs related to laboratories and facilities, depreciation expense, information technology and other overhead.</w:t>
      </w:r>
    </w:p>
    <w:p>
      <w:pPr>
        <w:spacing w:after="0" w:line="23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Up-front fees incurred in obtaining technology licenses for research and development activities, as well as associated milestone payments, are charged to research and development expense as incurred if the technology licensed has no alternative future use.</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We plan to increase our research and development expenses for the foreseeable future as we continue development of our product candidates. Our current and planned research and development activities include the following:</w:t>
      </w:r>
    </w:p>
    <w:p>
      <w:pPr>
        <w:spacing w:after="0" w:line="62" w:lineRule="exact"/>
        <w:rPr>
          <w:sz w:val="20"/>
          <w:szCs w:val="20"/>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Continued development of RGX-314 products under our collaboration with AbbVie, including:</w:t>
      </w:r>
    </w:p>
    <w:p>
      <w:pPr>
        <w:spacing w:after="0" w:line="117" w:lineRule="exact"/>
        <w:rPr>
          <w:sz w:val="20"/>
          <w:szCs w:val="20"/>
          <w:color w:val="auto"/>
        </w:rPr>
      </w:pPr>
    </w:p>
    <w:p>
      <w:pPr>
        <w:ind w:left="2000" w:right="80" w:hanging="372"/>
        <w:spacing w:after="0" w:line="259" w:lineRule="auto"/>
        <w:tabs>
          <w:tab w:leader="none" w:pos="2000" w:val="left"/>
        </w:tabs>
        <w:numPr>
          <w:ilvl w:val="1"/>
          <w:numId w:val="57"/>
        </w:numPr>
        <w:rPr>
          <w:rFonts w:ascii="Courier New" w:cs="Courier New" w:eastAsia="Courier New" w:hAnsi="Courier New"/>
          <w:sz w:val="18"/>
          <w:szCs w:val="18"/>
          <w:color w:val="auto"/>
        </w:rPr>
      </w:pPr>
      <w:r>
        <w:rPr>
          <w:rFonts w:ascii="Arial" w:cs="Arial" w:eastAsia="Arial" w:hAnsi="Arial"/>
          <w:sz w:val="18"/>
          <w:szCs w:val="18"/>
          <w:color w:val="auto"/>
        </w:rPr>
        <w:t>a Phase I/II clinical trial and associated long-term follow-up study to evaluate the safety and efficacy of the subretinal delivery of RGX-314 for the treatment of wet AMD;</w:t>
      </w:r>
    </w:p>
    <w:p>
      <w:pPr>
        <w:spacing w:after="0" w:line="76" w:lineRule="exact"/>
        <w:rPr>
          <w:rFonts w:ascii="Courier New" w:cs="Courier New" w:eastAsia="Courier New" w:hAnsi="Courier New"/>
          <w:sz w:val="18"/>
          <w:szCs w:val="18"/>
          <w:color w:val="auto"/>
        </w:rPr>
      </w:pPr>
    </w:p>
    <w:p>
      <w:pPr>
        <w:ind w:left="2000" w:right="80" w:hanging="372"/>
        <w:spacing w:after="0" w:line="259" w:lineRule="auto"/>
        <w:tabs>
          <w:tab w:leader="none" w:pos="2000" w:val="left"/>
        </w:tabs>
        <w:numPr>
          <w:ilvl w:val="1"/>
          <w:numId w:val="57"/>
        </w:numPr>
        <w:rPr>
          <w:rFonts w:ascii="Courier New" w:cs="Courier New" w:eastAsia="Courier New" w:hAnsi="Courier New"/>
          <w:sz w:val="18"/>
          <w:szCs w:val="18"/>
          <w:color w:val="auto"/>
        </w:rPr>
      </w:pPr>
      <w:r>
        <w:rPr>
          <w:rFonts w:ascii="Arial" w:cs="Arial" w:eastAsia="Arial" w:hAnsi="Arial"/>
          <w:sz w:val="18"/>
          <w:szCs w:val="18"/>
          <w:color w:val="auto"/>
        </w:rPr>
        <w:t>pivotal trials (ATMOSPHERE and ASCENT) to evaluate the safety and efficacy of the subretinal delivery of RGX-314 for the treatment of wet AMD;</w:t>
      </w:r>
    </w:p>
    <w:p>
      <w:pPr>
        <w:spacing w:after="0" w:line="76" w:lineRule="exact"/>
        <w:rPr>
          <w:rFonts w:ascii="Courier New" w:cs="Courier New" w:eastAsia="Courier New" w:hAnsi="Courier New"/>
          <w:sz w:val="18"/>
          <w:szCs w:val="18"/>
          <w:color w:val="auto"/>
        </w:rPr>
      </w:pPr>
    </w:p>
    <w:p>
      <w:pPr>
        <w:ind w:left="2000" w:right="900" w:hanging="372"/>
        <w:spacing w:after="0" w:line="259" w:lineRule="auto"/>
        <w:tabs>
          <w:tab w:leader="none" w:pos="2000" w:val="left"/>
        </w:tabs>
        <w:numPr>
          <w:ilvl w:val="1"/>
          <w:numId w:val="57"/>
        </w:numPr>
        <w:rPr>
          <w:rFonts w:ascii="Courier New" w:cs="Courier New" w:eastAsia="Courier New" w:hAnsi="Courier New"/>
          <w:sz w:val="18"/>
          <w:szCs w:val="18"/>
          <w:color w:val="auto"/>
        </w:rPr>
      </w:pPr>
      <w:r>
        <w:rPr>
          <w:rFonts w:ascii="Arial" w:cs="Arial" w:eastAsia="Arial" w:hAnsi="Arial"/>
          <w:sz w:val="18"/>
          <w:szCs w:val="18"/>
          <w:color w:val="auto"/>
        </w:rPr>
        <w:t>Phase II clinical trials to evaluate the safety and efficacy of the suprachoroidal delivery of RGX-314 using the SCS Microinjector for the treatment of wet AMD (AAVIATE) and DR (ALTITUDE);</w:t>
      </w:r>
    </w:p>
    <w:p>
      <w:pPr>
        <w:spacing w:after="0" w:line="76" w:lineRule="exact"/>
        <w:rPr>
          <w:rFonts w:ascii="Courier New" w:cs="Courier New" w:eastAsia="Courier New" w:hAnsi="Courier New"/>
          <w:sz w:val="18"/>
          <w:szCs w:val="18"/>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Phase I/II clinical trial to evaluate the safety and efficacy of RGX-202 for the treatment of Duchenne (AFFINITY DUCHENNE);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Phase I/II clinical trials to evaluate the safety and efficacy of RGX-121 for the treatment of MPS II;</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Phase I/II clinical trial to evaluate the safety and efficacy of RGX-111 for the treatment of MPS I;</w:t>
      </w:r>
    </w:p>
    <w:p>
      <w:pPr>
        <w:spacing w:after="0" w:line="117"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preclinical research and development for RGX-181 for the treatment of CLN2 disease, and RGX-381 for the treatment of the ocular manifestations of CLN2 disease;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preclinical research and development for potential product candidates addressing other diseases across a range of therapeutics areas and other new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investment in advanced manufacturing analytics and process development activities;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acquisition and manufacture of clinical trial materials in support of our anticipated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during the years ended December 31, 2021, 2020 and 2019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62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Expenses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620" w:type="dxa"/>
            <w:vAlign w:val="bottom"/>
          </w:tcPr>
          <w:p>
            <w:pPr>
              <w:ind w:left="120"/>
              <w:spacing w:after="0"/>
              <w:rPr>
                <w:sz w:val="20"/>
                <w:szCs w:val="20"/>
                <w:color w:val="auto"/>
              </w:rPr>
            </w:pPr>
            <w:r>
              <w:rPr>
                <w:rFonts w:ascii="Arial" w:cs="Arial" w:eastAsia="Arial" w:hAnsi="Arial"/>
                <w:sz w:val="18"/>
                <w:szCs w:val="18"/>
                <w:color w:val="auto"/>
              </w:rPr>
              <w:t>RGX-314</w:t>
            </w:r>
          </w:p>
        </w:tc>
        <w:tc>
          <w:tcPr>
            <w:tcW w:w="12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26,084</w:t>
            </w:r>
          </w:p>
        </w:tc>
        <w:tc>
          <w:tcPr>
            <w:tcW w:w="4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24,083</w:t>
            </w:r>
          </w:p>
        </w:tc>
        <w:tc>
          <w:tcPr>
            <w:tcW w:w="180" w:type="dxa"/>
            <w:vAlign w:val="bottom"/>
          </w:tcPr>
          <w:p>
            <w:pPr>
              <w:spacing w:after="0"/>
              <w:rPr>
                <w:sz w:val="19"/>
                <w:szCs w:val="19"/>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20,713</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RGX-202</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ind w:left="120"/>
              <w:spacing w:after="0"/>
              <w:rPr>
                <w:sz w:val="20"/>
                <w:szCs w:val="20"/>
                <w:color w:val="auto"/>
              </w:rPr>
            </w:pPr>
            <w:r>
              <w:rPr>
                <w:rFonts w:ascii="Arial" w:cs="Arial" w:eastAsia="Arial" w:hAnsi="Arial"/>
                <w:sz w:val="18"/>
                <w:szCs w:val="18"/>
                <w:color w:val="auto"/>
              </w:rPr>
              <w:t>RGX-121 and RGX-111</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10,795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13,646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RGX-181 and RGX-381</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7,602</w:t>
            </w:r>
          </w:p>
        </w:tc>
        <w:tc>
          <w:tcPr>
            <w:tcW w:w="100" w:type="dxa"/>
            <w:vAlign w:val="bottom"/>
            <w:shd w:val="clear" w:color="auto" w:fill="CFF0FC"/>
          </w:tcPr>
          <w:p>
            <w:pPr>
              <w:spacing w:after="0"/>
              <w:rPr>
                <w:sz w:val="19"/>
                <w:szCs w:val="19"/>
                <w:color w:val="auto"/>
              </w:rPr>
            </w:pPr>
          </w:p>
        </w:tc>
      </w:tr>
      <w:tr>
        <w:trPr>
          <w:trHeight w:val="229"/>
        </w:trPr>
        <w:tc>
          <w:tcPr>
            <w:tcW w:w="36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 product candidates</w:t>
            </w:r>
          </w:p>
        </w:tc>
        <w:tc>
          <w:tcPr>
            <w:tcW w:w="9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FF0FC"/>
            </w:tcBorders>
          </w:tcPr>
          <w:p>
            <w:pPr>
              <w:spacing w:after="0"/>
              <w:rPr>
                <w:sz w:val="19"/>
                <w:szCs w:val="19"/>
                <w:color w:val="auto"/>
              </w:rPr>
            </w:pPr>
          </w:p>
        </w:tc>
      </w:tr>
      <w:tr>
        <w:trPr>
          <w:trHeight w:val="223"/>
        </w:trPr>
        <w:tc>
          <w:tcPr>
            <w:tcW w:w="3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direct expenses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47,726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40,165</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color w:val="auto"/>
              </w:rPr>
              <w:t>Unallocated Expenses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Platform and new technologies</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21,083</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ind w:left="120"/>
              <w:spacing w:after="0"/>
              <w:rPr>
                <w:sz w:val="20"/>
                <w:szCs w:val="20"/>
                <w:color w:val="auto"/>
              </w:rPr>
            </w:pPr>
            <w:r>
              <w:rPr>
                <w:rFonts w:ascii="Arial" w:cs="Arial" w:eastAsia="Arial" w:hAnsi="Arial"/>
                <w:sz w:val="18"/>
                <w:szCs w:val="18"/>
                <w:color w:val="auto"/>
              </w:rPr>
              <w:t>Personnel-related</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76,979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50,164</w:t>
            </w:r>
          </w:p>
        </w:tc>
        <w:tc>
          <w:tcPr>
            <w:tcW w:w="100" w:type="dxa"/>
            <w:vAlign w:val="bottom"/>
          </w:tcPr>
          <w:p>
            <w:pPr>
              <w:spacing w:after="0"/>
              <w:rPr>
                <w:sz w:val="19"/>
                <w:szCs w:val="19"/>
                <w:color w:val="auto"/>
              </w:rPr>
            </w:pPr>
          </w:p>
        </w:tc>
      </w:tr>
      <w:tr>
        <w:trPr>
          <w:trHeight w:val="229"/>
        </w:trPr>
        <w:tc>
          <w:tcPr>
            <w:tcW w:w="3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Facilities and depreciation expense</w:t>
            </w: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w:t>
            </w:r>
          </w:p>
        </w:tc>
        <w:tc>
          <w:tcPr>
            <w:tcW w:w="100" w:type="dxa"/>
            <w:vAlign w:val="bottom"/>
            <w:shd w:val="clear" w:color="auto" w:fill="CFF0FC"/>
          </w:tcPr>
          <w:p>
            <w:pPr>
              <w:spacing w:after="0"/>
              <w:rPr>
                <w:sz w:val="19"/>
                <w:szCs w:val="19"/>
                <w:color w:val="auto"/>
              </w:rPr>
            </w:pPr>
          </w:p>
        </w:tc>
      </w:tr>
      <w:tr>
        <w:trPr>
          <w:trHeight w:val="229"/>
        </w:trPr>
        <w:tc>
          <w:tcPr>
            <w:tcW w:w="36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 unallocated</w:t>
            </w:r>
          </w:p>
        </w:tc>
        <w:tc>
          <w:tcPr>
            <w:tcW w:w="9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Borders>
              <w:bottom w:val="single" w:sz="8" w:color="CFF0FC"/>
            </w:tcBorders>
          </w:tcPr>
          <w:p>
            <w:pPr>
              <w:spacing w:after="0"/>
              <w:rPr>
                <w:sz w:val="19"/>
                <w:szCs w:val="19"/>
                <w:color w:val="auto"/>
              </w:rPr>
            </w:pPr>
          </w:p>
        </w:tc>
      </w:tr>
      <w:tr>
        <w:trPr>
          <w:trHeight w:val="223"/>
        </w:trPr>
        <w:tc>
          <w:tcPr>
            <w:tcW w:w="3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unallocated expenses</w:t>
            </w:r>
          </w:p>
        </w:tc>
        <w:tc>
          <w:tcPr>
            <w:tcW w:w="9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133,711</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102,355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84,020</w:t>
            </w:r>
          </w:p>
        </w:tc>
        <w:tc>
          <w:tcPr>
            <w:tcW w:w="100" w:type="dxa"/>
            <w:vAlign w:val="bottom"/>
            <w:shd w:val="clear" w:color="auto" w:fill="CFF0FC"/>
          </w:tcPr>
          <w:p>
            <w:pPr>
              <w:spacing w:after="0"/>
              <w:rPr>
                <w:sz w:val="19"/>
                <w:szCs w:val="19"/>
                <w:color w:val="auto"/>
              </w:rPr>
            </w:pPr>
          </w:p>
        </w:tc>
      </w:tr>
      <w:tr>
        <w:trPr>
          <w:trHeight w:val="223"/>
        </w:trPr>
        <w:tc>
          <w:tcPr>
            <w:tcW w:w="3620" w:type="dxa"/>
            <w:vAlign w:val="bottom"/>
          </w:tcPr>
          <w:p>
            <w:pPr>
              <w:ind w:left="360"/>
              <w:spacing w:after="0"/>
              <w:rPr>
                <w:sz w:val="20"/>
                <w:szCs w:val="20"/>
                <w:color w:val="auto"/>
              </w:rPr>
            </w:pPr>
            <w:r>
              <w:rPr>
                <w:rFonts w:ascii="Arial" w:cs="Arial" w:eastAsia="Arial" w:hAnsi="Arial"/>
                <w:sz w:val="18"/>
                <w:szCs w:val="18"/>
                <w:color w:val="auto"/>
              </w:rPr>
              <w:t>Total research and development</w:t>
            </w:r>
          </w:p>
        </w:tc>
        <w:tc>
          <w:tcPr>
            <w:tcW w:w="9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181,437</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166,294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124,185</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Direct expenses related to RGX-202 and RGX-381 were included in platform and new technologies for all periods through December 31, 2019. Platform and new technologies include direct costs not identifiable with a specific lead product candidate, including costs associated with our research and development platform used across programs, process development, manufacturing analytics and early research and development for prospective product candidates and new technologies. We typically utilize our employee and infrastructure resources across our development programs. We do not allocate personnel and other internal costs, such as facilities and other overhead costs, to specific product candidates or development programs.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general and administrative expenses consist primarily of salaries, wages and personnel-related costs, including benefits, travel and stock-based compensation, for employees performing functions other than research and development. This includes certain personnel in executive, commercial, corporate development, finance, legal, human resources, information technology, facilities and administrative support functions. Additionally, general and administrative expenses include facility-related and overhead costs not otherwise allocated to research and development expense, professional fees for accounting, legal, commercial and other advisory services, expenses associated with obtaining and maintaining patents, insurance costs, costs of our information systems and other general corporate activities. We expect that our general and administrative expenses will continue to increase as we continue to develop, and potentially commercialize,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 from Licensing</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accordance with our revenue recognition policy, interest income from licensing consists of imputed interest recognized from significant financing components identified in our license agreements with NAV Technology Licensees as well as interest income accrued on unpaid balances due from licensees.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Investment income consists of interest income earned and gains and losses realized from our cash equivalents, marketable securities and non-marketable equity securities, as well as unrealized gains and losses on marketable equity securities. Cash equivalents are comprised of money market mutual funds and highly liquid debt securities with original maturities of 90 days or less at acquisition. Marketable securities are comprised of available-for-sale debt securities and equity securities.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Interest expense consists of interest imputed on the liability related to the sale of future Zolgensma royalties to entities managed by Healthcare Royalty Management, LLC (collectively, HCR). Interest expense is recognized using the effective interest method, based on our estimate of total royalty payments expected to be received by HCR under the royalty purchase agreement. For further information regarding the royalty purchase agreement with HCR, please refer to Note 7, “Liability Related to Sale of Future Royalties” to the accompanying audited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is based on our consolidated financial statements, which we have prepared in accordance with accounting principles generally accepted in the United States of America (GAAP). The preparation of financial statements in conformity with GAAP requires us to make estimates and assumptions that affect the reported amounts of assets, liabilities, revenues and expenses and related disclosure of contingent assets and liabilities for the periods presented. We base our estimates on historical experience and on various other factors that we believe are reasonable under the circumstances, the results of which form the basis for making judgments about the carrying value of assets and liabilities, and other reported amounts, that are not readily apparent from other sources. Actual results may differ materially from these estimates under different assumptions or conditions.</w:t>
      </w:r>
    </w:p>
    <w:p>
      <w:pPr>
        <w:spacing w:after="0" w:line="19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significant accounting policies are fully described in Note 2 to our audited consolidated financial statements appearing elsewhere in this Annual Report on Form 10-K. We believe the following accounting policies are critical to the process of making significant judgments and estimates in the preparation of our financial statements and understanding and evaluating our reported financial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 xml:space="preserve">We recognize revenue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Topic 606 requires entities to recognize revenue when control of the promised goods or services is transferred to customers at an amount that reflects the consideration to which the entity expects to be entitled to in exchange for those goods or services. The following five steps are performed to determine the appropriate revenue recognition for arrangements within the scope of Topic 606: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obligations.</w:t>
      </w:r>
    </w:p>
    <w:p>
      <w:pPr>
        <w:spacing w:after="0" w:line="17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apply the five-step model to contracts that are within the scope of Topic 606 only when it is probable that we will collect the consideration we are entitled to in exchange for the goods or services we transfer to the customer. At contract inception, for contracts within the scope of Topic 606, we assess the goods or services promised within each contract and determine those that are performance obligations and whether each promised good or service is distinct. We then recognize as revenue the amount of the transaction price that is allocated to respective performance obligations when (or as) the respective performance obligations are satisfied.</w:t>
      </w:r>
    </w:p>
    <w:p>
      <w:pPr>
        <w:spacing w:after="0" w:line="188"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We evaluate our contracts with customers for the presence of significant financing components. If a significant financing component is identified in a contract and provides a financing benefit to the customer, the transaction price for the contract is adjusted to account for the financing portion of the arrangement, which is recognized as interest income over the financing term using the effective interest method. In determining the appropriate interest rates for significant financing components, we evaluate the credit profile of the customer and prevailing market interest rates and select an interest rate in which we believe would be charged to the customer in a separate financing arrangement over a similar financing term.</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and royalty revenue</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license our NAV Technology Platform and other intellectual property rights to other biotechnology and pharmaceutical companies. The terms of the licenses vary, and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our NAV Technology Platform and other licensed rights. License agreements generally have a term at least equal to the life of the underlying patents, but are terminable at the option of the licensee. Consideration payable to us under our license agreements may include: (i) up-front and annual fees, (ii) milestone payments based on the achievement of certain development and sales-based milestones, (iii) sublicense fees, (iv) royalties on sales of licensed products and (v) other consideration payable upon optional goods and services purchased by licensees.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license agreements are accounted for as contracts with customers within the scope of Topic 606, with the exception of transactions for which the counterparty is determined not to be a customer. At the inception of each license agreement, we determine the contract term for purposes of applying the requirements of Topic 606. Licenses are generally terminable at the option of the licensee with advance notice to us. For each license granted, including licenses granted upon the exercise of license options, we evaluate these termination rights to determine whether a substantive termination penalty would be incurred by the licensee upon termination. If the licensee incurs a substantive termination penalty upon termination, the contract term for revenue recognition purposes is generally equal to the stated term of the license, which is the life of the underlying licensed patents. Alternatively, if the licensee does not incur a substantive termination penalty upon termination, the contract term for revenue recognition purposes may be shorter than the stated term of the license, in which case the termination rights may be accounted for as contract renewal options. The determination of whether a substantive termination penalty is associated with the termination rights requires significant judgment. In making this determination, we consider, among other things, the nature of the intellectual property rights that would be returned to us upon termination, including the exclusivity of the licensed rights and the stage of development of the licensed products, the payment terms, including the amount and timing of non-refundable or guaranteed payments, and the business purpose of the termination rights granted to the licensee. Generally, the most significant judgment in determining whether a substantive termination penalty exists relates to the amount of any up-front or guaranteed non-refundable payments relative to the amount of annual payments that may be avoided by the licensee upon termination of the license. We consider all of the facts and circumstances relevant to each license when making this determination.</w:t>
      </w:r>
    </w:p>
    <w:p>
      <w:pPr>
        <w:spacing w:after="0" w:line="17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Performance obligations under our license agreements may include (i) the delivery of intellectual property licenses, (ii) options granted to licensees to acquire additional licenses, to the extent the options represent material rights to the licensee, and (iii) research and development services to be performed by us related to licensed products. License agreements may provide licensees with contract renewal options or options to acquire additional licenses, goods or other services. Options are evaluated at the inception of the license agreement to determine whether they provide material rights to the licensee. In making this determination, we consider whether the options are priced at an incremental discount to the standalone selling price for the underlying licenses, goods or services, in which case the option is considered to be a material right to the licensee and is accounted for as a separate performance obligation under the current license agreement. At the inception of each license agreement which contains performance obligations for research and development services, we evaluate whether the license is distinct from the research and development services, which requires judgment. In making this determination, we consider, among other things, the stage of development of the licensed products and whether the research and development services will significantly impact further development of the licensed products. If it is determined that the license is not distinct from the research and development services, the license is combined with the research and development services into a single performance obligation.</w:t>
      </w:r>
    </w:p>
    <w:p>
      <w:pPr>
        <w:spacing w:after="0" w:line="172"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We evaluate the transaction price of our license agreements at the inception of each agreement and at each reporting date. The transaction price includes the fixed consideration payable to us during the contract term, as well as any variable consideration to the extent that it is probable that a significant reversal of revenue will not occur in the future. Fixed consideration under the license agreements includes up-front and annual fees payable during the contract term. Variable consideration under the license agreements includes development and sales-based milestone payments, sublicense fees and royalties on sales of licensed products. Consideration contingent upon the exercise of options by a licensee is excluded from the transaction price and not accounted for as part of the license agreement until the option is exercised.</w:t>
      </w:r>
    </w:p>
    <w:p>
      <w:pPr>
        <w:spacing w:after="0" w:line="17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transaction price for each license agreement is allocated to the underlying performance obligations based on their relative standalone selling prices and recognized as revenue when (or as) the performance obligations are satisfied. Consideration allocated to performance obligations for the delivery of an intellectual property license is recognized as revenue in full upon the delivery of the license to the licensee. Consideration allocated to performance obligations for license options is recognized as revenue in full upon the earlier of the option exercise or expiration. The exercise of a license option by a licensee is accounted for as a new license for revenue recognition purposes. Consideration allocated to performance obligations for research and development services is recognized as revenue as the services are performed by us.</w:t>
      </w:r>
    </w:p>
    <w:p>
      <w:pPr>
        <w:spacing w:after="0" w:line="178"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Up-front and annual licenses fees payable to us over the contract term of each license are included in the transaction price, and the portion of this consideration allocated to the performance obligation for the delivery of the intellectual property license is recognized as revenue in full upon the delivery of the license to the licensee. If annual license fees are payable to us in periods beyond 12 months from the delivery of the license, a significant financing component is deemed to exist which provides a financing benefit to the licensee. If a significant financing component is identified, we adjust the transaction price for the license to include only the present value of the annual license fees payable to us over the contract term. The discounted portion of the license fees is recognized as interest income from licensing over the financing period of the license.</w:t>
      </w:r>
    </w:p>
    <w:p>
      <w:pPr>
        <w:spacing w:after="0" w:line="178"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Development milestone payments are payable to us upon the achievement of specified development milestones. At the inception of each license agreement that contains development milestone payments, we evaluate whether the milestones are considered probable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of achievement and estimate the amount to be included in the transaction price using the most likely amount method. If it is probable that a significant revenue reversal will not occur in the future, milestone payments are included in the transaction price and recognized as revenue upon the delivery of the license. Milestone payments contingent on the achievement of development milestones that are not within our control or the control of the licensee, such as regulatory approvals, are not considered probable of being achieved and are excluded from the transaction price until the milestone is achieved. At each reporting date, we re-evaluate the probability of achievement of each outstanding development milestone and, if necessary, adjust the transaction price for any milestones for which the probability of achievement has changed due to current facts and circumstances. Any such adjustments are recorded on a cumulative catch-up basis and recognized as revenue in the period of the adjustment.</w:t>
      </w:r>
    </w:p>
    <w:p>
      <w:pPr>
        <w:spacing w:after="0" w:line="17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Royalties on sales of licensed products, sales-based milestone payments, including milestones payable upon first commercial sales of licensed products, and sublicense fees based on the receipt of certain fees by licensees from any sublicensees are excluded from the transaction price of each license and recognized as revenue in the period that the related sales or sublicenses occur, provided that the associated license has been delivered to the licensee.</w:t>
      </w:r>
    </w:p>
    <w:p>
      <w:pPr>
        <w:spacing w:after="0" w:line="149"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Royalty revenue to date consists primarily of royalties on net sales of Zolgensma, which is a licensed product under our license agreement with Novartis Gene Therapies for the development and commercialization of treatments for SMA. We recognize royalty revenue from net sales of Zolgensma in the period in which the underlying products are sold by Novartis Gene Therapies, which in certain cases may require us to estimate royalty revenue for periods of net sales which have not yet been reported to us. Estimated royalties are reconciled to actual amounts reported in subsequent periods, and any differences are recognized as an adjustment to royalty revenue in the period the royalties are reported. Sales-based milestone payments related to net sales of Zolgensma are recognized as royalty revenue in the period in which the milestone is achieved.</w:t>
      </w:r>
    </w:p>
    <w:p>
      <w:pPr>
        <w:spacing w:after="0" w:line="17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receive payments from licensees based on the billing schedules established in each license agreement. Amounts recognized as revenue which have not yet been received from licensees, including unbilled royalties, are recorded as accounts receivable when our rights to the consideration are conditional solely upon the passage of time. Amounts recognized as revenue which have not yet been received from licensees are recorded as contract assets when our rights to the consideration are not unconditional. Contract assets are recorded as other current assets on the consolidated balance sheets. If a licensee elects to terminate a license prior to the end of the license term, the licensed intellectual property is returned to us and any consideration recorded as accounts receivable or contract assets which is not contractually payable by the licensee is charged off as a reduction of license revenue in the period of the termination. Amounts received by us prior to the delivery of underlying performance obligations are deferred and recognized as revenue upon the satisfaction of the performance obligations. Deferred revenue which is not expected to be recognized within 12 months from the reporting date is recorded as non-current on the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We evaluate our agreements with collaboration partners to determine whether they are within the scope of ASC 808, </w:t>
      </w:r>
      <w:r>
        <w:rPr>
          <w:rFonts w:ascii="Arial" w:cs="Arial" w:eastAsia="Arial" w:hAnsi="Arial"/>
          <w:sz w:val="18"/>
          <w:szCs w:val="18"/>
          <w:i w:val="1"/>
          <w:iCs w:val="1"/>
          <w:color w:val="auto"/>
        </w:rPr>
        <w:t>Collaborative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(Topic 808). Such arrangements are within the scope of Topic 808 if they involve joint operating activities performed by parties that are both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active participants in the activities and exposed to significant risks and rewards dependent on the commercial success of such activities. This evaluation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performed throughout the life of the arrangement based on any changes in the roles and responsibilities of the parties under the arrangement.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collaboration arrangements within the scope of Topic 808 that contain multiple elements, we identify the various transactions with the counterparty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if any unit of account is more reflective of a transaction with a customer and therefore should be accounted for within the scope of Topic 606.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transactions that are accounted for pursuant to Topic 808, an appropriate method of recognition and presentation is determined and consistently applied.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transactions that are accounted for pursuant to Topic 606, we apply the five-step model as described in our revenue recognition policies.</w:t>
      </w:r>
    </w:p>
    <w:p>
      <w:pPr>
        <w:spacing w:after="0" w:line="211"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For additional information regarding our collaborative arrangements, including our RGX-314 collaboration with AbbVie which became effective in November 2021, please refer to Note 10, “License and Collaboration Agreements” to the accompanying audited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the expected remaining period of performance and the associated expenses incurred for the service when we have not yet been invoiced or otherwise notified of actual cost. Depending on the timing of payments to the service providers and the estimated expenses incurred, we may record net prepaid or accrued research and development expenses relating to these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Examples of estimated accrued research and development expenses include fees paid to:</w:t>
      </w:r>
    </w:p>
    <w:p>
      <w:pPr>
        <w:spacing w:after="0" w:line="117" w:lineRule="exact"/>
        <w:rPr>
          <w:sz w:val="20"/>
          <w:szCs w:val="20"/>
          <w:color w:val="auto"/>
        </w:rPr>
      </w:pPr>
    </w:p>
    <w:p>
      <w:pPr>
        <w:ind w:left="1000" w:hanging="49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CROs and other vendors in connection with preclinical development and clinical studies;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CMOs and other vendors related to process development and manufacturing of materials for use in preclinical development and clinical studies;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service providers for professional service fees such as consulting and other research and development related services.</w:t>
      </w:r>
    </w:p>
    <w:p>
      <w:pPr>
        <w:spacing w:after="0" w:line="225"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 actually incurred.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 xml:space="preserve">We account for our stock-based compensation awards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ASC 718 requires all stock-based awards to employees and nonemployees to be recognized as expense based on the grant date fair value of the awards. Our stock-based awards include stock options granted to employees and nonemployees, restricted stock units granted to employees and shares issued to employees under our employee stock purchase plan.</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stock-based awards may be subject to either service or performance-based vesting conditions. Compensation expense related to awards with service-based vesting conditions is recognized on a straight-line basis based on the estimated grant date fair value over the requisite service period of the award, which is generally the vesting term. Compensation expense related to awards with performance-based vesting conditions is recognized based on the estimated grant date fair value over the requisite service period using the accelerated attribution method to the extent achievement of the performance condition is probable.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elected to not estimate forfeitures of stock-based awards and account for forfeitures as they occur.</w:t>
      </w:r>
    </w:p>
    <w:p>
      <w:pPr>
        <w:spacing w:after="0" w:line="22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estimate the fair value of our stock option awards using the Black-Scholes option-pricing model, which requires the input of subjective assumptions, including (i) the fair value of the underlying common stock, (ii) the expected stock price volatility, (iii) the expected term of the award, (iv) the risk-free interest rate and (v) expected dividends. The fair value of our common stock, as used as an input to determine the fair value of our stock option awards, is based on the closing price of our common stock on the date of the grant. For reporting periods through December 31, 2020, we did not have sufficient historical or implied volatility data for our common stock necessary to estimate expected volatility over a period of time commensurate with the expected term of our stock option awards. For such reporting periods, we estimated expected volatility based on a weighted-average of the historical volatility of our common stock and the common stock of a selected peer group of similar publicly traded companies for which sufficient historical volatility data was available. As more historical trading data became available over time, we gradually increased the weight placed on the historical volatility of our common stock versus the historical peer group volatility data. Effective January 1, 2021, we eliminated the use of historical peer group volatility data and now estimate expected volatility based solely on the historical volatility of our common stock given that sufficient historical volatility data has become available. We estimate the expected term of our employee stock options using the “simplified” method, whereby the expected term equals the arithmetic average of the vesting term and the original contractual term of the option, due to our lack of sufficient historical data. For stock options granted to nonemployees, we use the contractual term of the award rather than expected term to estimate the fair value of the award. We estimate the risk-free interest rates for periods within the expected term of its options based on the rates of U.S. Treasury securities with maturity dates commensurate with the expected term of the associated awards. We assume a dividend yield of zero for our common stock as we have never paid dividends and do not expect to pay dividends for the foreseeable future.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estimate the fair value of our restricted stock units based on the closing price of our common stock on the date of the grant.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on Liability Related to Sale of Future Royalties</w:t>
      </w:r>
    </w:p>
    <w:p>
      <w:pPr>
        <w:spacing w:after="0" w:line="11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recorded a liability for the net proceeds received from the sale of our Zolgensma royalty payments to HCR. The liability is amortized over the estimated life of the arrangement using the effective interest method. The total amount of royalty payments received by HCR under the agreement, less the net proceeds we received from the sale, is recorded as interest expense over the life of the arrangement. We estimate the effective interest rate based on our estimate of total future royalty payments to be received by HCR under the agreement. We reassess these estimates at each reporting date and adjust the effective interest rate and amortization of the liability on a prospective basis as necessary.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which provides for deferred taxes using an asset and liability approach. We recognize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of December 31, 2021, we had U.S. state net operating loss (NOL) carryforwards of $59.9 million and federal and state research and development tax credit carryforwards of $45.6 million (net of unrecognized tax benefits of $0.1 million) which may be available to offset future income tax liabilities. A portion of our NOL and credit carryforwards as of December 31, 2021 may be carried forward indefinitely, with the remaining portion expiring at various dates between 2034 and 2041. We had no federal NOL carryforwards as of December 31, 2021.</w:t>
      </w:r>
    </w:p>
    <w:p>
      <w:pPr>
        <w:spacing w:after="0" w:line="187"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We have evaluated the positive and negative evidence bearing upon the realizability of our deferred tax assets, including our NOL and credit carryforwards. Based on our history of operating losses, and other relevant facts and circumstances, we concluded that it is more likely than not that the benefit of our deferred tax assets will not be realized. Accordingly, we provided a full valuation allowance for our net deferred tax assets as of December 31, 2021 and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See Note 2 “Recent Accounting Pronouncements” in the notes to the consolidated financial statements appearing elsewhere in this Annual Report on Form 10-K for a full description of accounting pronouncements which we have recently adopted and the impact to our financial statements upon adoption.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results of operations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2021 vs. 2020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2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License and royalty revenue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470,347</w:t>
            </w:r>
          </w:p>
        </w:tc>
        <w:tc>
          <w:tcPr>
            <w:tcW w:w="20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154,567</w:t>
            </w:r>
          </w:p>
        </w:tc>
        <w:tc>
          <w:tcPr>
            <w:tcW w:w="2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35,233</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315,780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119,334</w:t>
            </w:r>
          </w:p>
        </w:tc>
        <w:tc>
          <w:tcPr>
            <w:tcW w:w="120" w:type="dxa"/>
            <w:vAlign w:val="bottom"/>
          </w:tcPr>
          <w:p>
            <w:pPr>
              <w:spacing w:after="0"/>
              <w:rPr>
                <w:sz w:val="19"/>
                <w:szCs w:val="19"/>
                <w:color w:val="auto"/>
              </w:rPr>
            </w:pPr>
          </w:p>
        </w:tc>
      </w:tr>
      <w:tr>
        <w:trPr>
          <w:trHeight w:val="223"/>
        </w:trPr>
        <w:tc>
          <w:tcPr>
            <w:tcW w:w="4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470,347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154,567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315,780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119,334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27,473</w:t>
            </w:r>
          </w:p>
        </w:tc>
        <w:tc>
          <w:tcPr>
            <w:tcW w:w="120" w:type="dxa"/>
            <w:vAlign w:val="bottom"/>
            <w:shd w:val="clear" w:color="auto" w:fill="CFF0FC"/>
          </w:tcPr>
          <w:p>
            <w:pPr>
              <w:spacing w:after="0"/>
              <w:rPr>
                <w:sz w:val="19"/>
                <w:szCs w:val="19"/>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181,437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166,294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124,185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42,109</w:t>
            </w:r>
          </w:p>
        </w:tc>
        <w:tc>
          <w:tcPr>
            <w:tcW w:w="120" w:type="dxa"/>
            <w:vAlign w:val="bottom"/>
          </w:tcPr>
          <w:p>
            <w:pPr>
              <w:spacing w:after="0"/>
              <w:rPr>
                <w:sz w:val="19"/>
                <w:szCs w:val="19"/>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12,002</w:t>
            </w:r>
          </w:p>
        </w:tc>
        <w:tc>
          <w:tcPr>
            <w:tcW w:w="120" w:type="dxa"/>
            <w:vAlign w:val="bottom"/>
            <w:shd w:val="clear" w:color="auto" w:fill="CFF0FC"/>
          </w:tcPr>
          <w:p>
            <w:pPr>
              <w:spacing w:after="0"/>
              <w:rPr>
                <w:sz w:val="19"/>
                <w:szCs w:val="19"/>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Credit losses (recoveries) and other</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(2,236)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(10,211)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19"/>
                <w:szCs w:val="19"/>
                <w:color w:val="auto"/>
              </w:rPr>
            </w:pPr>
          </w:p>
        </w:tc>
      </w:tr>
      <w:tr>
        <w:trPr>
          <w:trHeight w:val="223"/>
        </w:trPr>
        <w:tc>
          <w:tcPr>
            <w:tcW w:w="4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310,367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273,800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184,231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159,980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(119,233)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(148,998)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279,213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29,765</w:t>
            </w:r>
          </w:p>
        </w:tc>
        <w:tc>
          <w:tcPr>
            <w:tcW w:w="12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Interest income from licensing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(3,552)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19"/>
                <w:szCs w:val="19"/>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(38,836)</w:t>
            </w: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(26,277)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(771)</w:t>
            </w: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(25,506)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r>
      <w:tr>
        <w:trPr>
          <w:trHeight w:val="223"/>
        </w:trPr>
        <w:tc>
          <w:tcPr>
            <w:tcW w:w="4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13,223</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51,510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141,247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247,257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(8,522)</w:t>
            </w:r>
          </w:p>
        </w:tc>
        <w:tc>
          <w:tcPr>
            <w:tcW w:w="12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(13,407)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(5,240)</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(7,995)</w:t>
            </w:r>
          </w:p>
        </w:tc>
      </w:tr>
      <w:tr>
        <w:trPr>
          <w:trHeight w:val="223"/>
        </w:trPr>
        <w:tc>
          <w:tcPr>
            <w:tcW w:w="436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(111,250)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(16,517)</w:t>
            </w:r>
          </w:p>
        </w:tc>
        <w:tc>
          <w:tcPr>
            <w:tcW w:w="12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i w:val="1"/>
          <w:iCs w:val="1"/>
          <w:color w:val="auto"/>
        </w:rPr>
        <w:t xml:space="preserve">License and Royalty Revenue. </w:t>
      </w:r>
      <w:r>
        <w:rPr>
          <w:rFonts w:ascii="Arial" w:cs="Arial" w:eastAsia="Arial" w:hAnsi="Arial"/>
          <w:sz w:val="18"/>
          <w:szCs w:val="18"/>
          <w:color w:val="auto"/>
        </w:rPr>
        <w:t>License and royalty revenue increased by $315.8 million, from $154.6 million for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to $470.3 million for the year ended December 31, 2021. The increase was primarily attributable to the following:</w:t>
      </w:r>
    </w:p>
    <w:p>
      <w:pPr>
        <w:spacing w:after="0" w:line="62" w:lineRule="exact"/>
        <w:rPr>
          <w:sz w:val="20"/>
          <w:szCs w:val="20"/>
          <w:color w:val="auto"/>
        </w:rPr>
      </w:pPr>
    </w:p>
    <w:p>
      <w:pPr>
        <w:ind w:left="1000" w:right="700" w:hanging="493"/>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Revenue of $370.0 million recognized in 2021 under our collaboration and license agreement with AbbVie for the development and commercialization of RGX-314, which became effective in November 2021;</w:t>
      </w:r>
    </w:p>
    <w:p>
      <w:pPr>
        <w:spacing w:after="0" w:line="62"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increase of $33.3 million in Zolgensma royalty revenues, from $61.6 million in 2020 to $95.0 million in 2021. As reported by Novartis, sales of Zolgensma increased by 47% in 2021 as compared to 2020, driven by geographic expansion of product access.</w:t>
      </w:r>
    </w:p>
    <w:p>
      <w:pPr>
        <w:spacing w:after="0" w:line="3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increase in license and royalty revenue was partially offset by an $80.0 million milestone payment recognized as revenue in the third quarter of 2020 upon the achievement of $1.0 billion in cumulative net sales of Zolgensma. Upon the achievement of this milestone, there are no further development or sales-based milestones remaining under the associated license agreement with Novartis Gene Therapies for the development and commercialization of treatments for SMA. The increase in cost of revenues in 2021 was primarily driven by royalties payable to licensors on net sales of Zolgensma and sublicense fees payable to licensors on revenues generated under the collaboration and license agreement with AbbVie.</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expenses increased by $15.1 million, from $166.3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to $181.4 million for the year ended December 31, 2021. The increase was primarily attributable to the following:</w:t>
      </w:r>
    </w:p>
    <w:p>
      <w:pPr>
        <w:spacing w:after="0" w:line="103" w:lineRule="exact"/>
        <w:rPr>
          <w:sz w:val="20"/>
          <w:szCs w:val="20"/>
          <w:color w:val="auto"/>
        </w:rPr>
      </w:pPr>
    </w:p>
    <w:p>
      <w:pPr>
        <w:ind w:left="1000" w:right="80" w:hanging="493"/>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$13.4 million in personnel-related costs as a result of increased headcount of research and development personnel, including a $3.3 million increase in stock-based compensation expense;</w:t>
      </w:r>
    </w:p>
    <w:p>
      <w:pPr>
        <w:spacing w:after="0" w:line="62" w:lineRule="exact"/>
        <w:rPr>
          <w:rFonts w:ascii="Arial" w:cs="Arial" w:eastAsia="Arial" w:hAnsi="Arial"/>
          <w:sz w:val="18"/>
          <w:szCs w:val="18"/>
          <w:color w:val="auto"/>
        </w:rPr>
      </w:pPr>
    </w:p>
    <w:p>
      <w:pPr>
        <w:ind w:left="1000" w:right="340" w:hanging="493"/>
        <w:spacing w:after="0" w:line="263"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$8.2 million in costs of laboratories and facilities used by research and development personnel, including a $1.1 million increase in depreciation expense allocated to research and development functions, largely driven by the occupation of our new corporate, research and manufacturing headquarters in 2021;</w:t>
      </w:r>
    </w:p>
    <w:p>
      <w:pPr>
        <w:spacing w:after="0" w:line="75"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$8.1 million in costs associated with clinical trial and regulatory activities for our lead product candidates, largely driven by RGX-314 and RGX-121 clinical trials;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$2.0 million in costs associated with preclinical activities and other early stage research and development.</w:t>
      </w:r>
    </w:p>
    <w:p>
      <w:pPr>
        <w:spacing w:after="0" w:line="117"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The increase in research and development expenses was partially offset by a decrease of $13.6 million in costs associated with manufacturing-related activities, largely driven by manufacturing campaigns for RGX-201 and RGX-121 clinical supply performed in 2020, and $5.9 million of development cost reimbursement from AbbVie recorded in 2021 under our RGX-314 collaboration which was recorded as a reduction of research and development expenses.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expenses increased by $15.5 million, from $63.8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to $79.3 million for the year ended December 31, 2021. The increase was primarily attributable to the following:</w:t>
      </w:r>
    </w:p>
    <w:p>
      <w:pPr>
        <w:spacing w:after="0" w:line="103" w:lineRule="exact"/>
        <w:rPr>
          <w:sz w:val="20"/>
          <w:szCs w:val="20"/>
          <w:color w:val="auto"/>
        </w:rPr>
      </w:pPr>
    </w:p>
    <w:p>
      <w:pPr>
        <w:ind w:left="1000" w:right="140" w:hanging="493"/>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of $8.4 million in personnel-related costs as a result of increased headcount of general and administrative personnel, including a $3.5 million increase in stock-based compensation expense;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of $3.4 million for professional services, primarily related to legal and other advisory services; and</w:t>
      </w:r>
    </w:p>
    <w:p>
      <w:pPr>
        <w:spacing w:after="0" w:line="117" w:lineRule="exact"/>
        <w:rPr>
          <w:rFonts w:ascii="Arial" w:cs="Arial" w:eastAsia="Arial" w:hAnsi="Arial"/>
          <w:sz w:val="18"/>
          <w:szCs w:val="18"/>
          <w:color w:val="auto"/>
        </w:rPr>
      </w:pPr>
    </w:p>
    <w:p>
      <w:pPr>
        <w:jc w:val="both"/>
        <w:ind w:left="1000" w:right="320" w:hanging="493"/>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of $1.2 million in costs of facilities used by general and administrative personnel, including depreciation expense allocated to general and administrative functions, largely driven by the occupation of our new corporate, research and manufacturing headquarters in 2021.</w:t>
      </w:r>
    </w:p>
    <w:p>
      <w:pPr>
        <w:spacing w:after="0" w:line="1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i w:val="1"/>
          <w:iCs w:val="1"/>
          <w:color w:val="auto"/>
        </w:rPr>
        <w:t>Credit Losses (Recoveries) and Other</w:t>
      </w:r>
      <w:r>
        <w:rPr>
          <w:rFonts w:ascii="Arial" w:cs="Arial" w:eastAsia="Arial" w:hAnsi="Arial"/>
          <w:sz w:val="16"/>
          <w:szCs w:val="16"/>
          <w:color w:val="auto"/>
        </w:rPr>
        <w:t>. Credit losses (recoveries) and other decreased by $10.2 million during the year ended December 31, 2021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2020. The decrease was primarily attributable to changes in the allowance for credit losses associated with our accounts receivable from Abeona Therapeutics Inc. (Abeona) for license fees due under a license agreement which was terminated in 2020. We recorded credit losses of $7.7 million in 2020 related to the accounts receivable from Abeona. In November 2021, we entered into a settlement agreement with Abeona related to the amounts due to us under the terminated license agreement. As a result of the settlement, we recorded credit recoveries of $2.6 million in 2021 related to the accounts receivable from Abeona. For further information regarding the provision for credit losses, refer to Note 10, “License and Collaboration Agreements—Abeona Therapeutics Inc.” to the accompanying consolidated financial statements.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i w:val="1"/>
          <w:iCs w:val="1"/>
          <w:color w:val="auto"/>
        </w:rPr>
        <w:t>Investment Income</w:t>
      </w:r>
      <w:r>
        <w:rPr>
          <w:rFonts w:ascii="Arial" w:cs="Arial" w:eastAsia="Arial" w:hAnsi="Arial"/>
          <w:sz w:val="18"/>
          <w:szCs w:val="18"/>
          <w:color w:val="auto"/>
        </w:rPr>
        <w:t>. Investment income decreased by $2.9 million, from $9.7 million for the year ended December 31, 2020 to $6.8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2021. The decrease was primarily attributable to net gains of $4.8 million recognized in 2020 related to our marketable equity securities of Prevail Therapeutics Inc., all of which had been sold as of December 31, 2020, and a decrease of $3.2 million in interest income in 2021 primarily attributable to lower yields on investments in cash equivalents and marketable debt securities. The decrease in investment income was partially offset by a realized gain of $5.2 million recognized in 2021 upon the acquisition of our non-marketable equity securities of Corlieve Therapeutics SAS (Corleive) by uniQure N.V. (uniQure) in July 2021.</w:t>
      </w:r>
    </w:p>
    <w:p>
      <w:pPr>
        <w:spacing w:after="0" w:line="19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$25.5 million, from $0.8 million for the year ended December 31, 2020 to $26.3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2021. Interest expense consists solely of imputed interest under our royalty purchase agreement with HCR for the sale of future Zolgensma royalties, which occurred in December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As of December 31, 2021, we had cash, cash equivalents and marketable securities of $849.3 million, which were primarily derived from the sale of our common stock, license and royalty revenue and the monetization of our Zolgensma royalty stream. We expect that our cash, cash equivalents and marketable securities as of December 31, 2021, will enable us to fund our operating expenses and capital expenditure requirements, and are sufficient to meet our financial commitments and obligations, for at least the next 12 months from the date of this report, based on our current business plan. Our recent sources of liquidity include the following events and transactions:</w:t>
      </w:r>
    </w:p>
    <w:p>
      <w:pPr>
        <w:spacing w:after="0" w:line="80" w:lineRule="exact"/>
        <w:rPr>
          <w:sz w:val="20"/>
          <w:szCs w:val="20"/>
          <w:color w:val="auto"/>
        </w:rPr>
      </w:pPr>
    </w:p>
    <w:p>
      <w:pPr>
        <w:ind w:left="1000" w:right="40" w:hanging="493"/>
        <w:spacing w:after="0" w:line="255"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September 2021, we entered into the AbbVie Collaboration Agreement for the development and commercialization of RGX-314, which became effective in November 2021. Pursuant to the AbbVie Collaboration Agreement, we received an up-front fee of $370.0 million from AbbVie upon the effective date of the agreement in November 2021, and we are eligible to receive up to $1.38 billion from AbbVie upon the achievement of specified development and sales-based milestones. Additionally, the parties will share equally in the net profits and net losses associated with the commercialization of RGX-314 in the United States, and we are eligible to receive tiered royalties on net sales by AbbVie of RGX-314 outside the United States.</w:t>
      </w:r>
    </w:p>
    <w:p>
      <w:pPr>
        <w:spacing w:after="0" w:line="84" w:lineRule="exact"/>
        <w:rPr>
          <w:rFonts w:ascii="Arial" w:cs="Arial" w:eastAsia="Arial" w:hAnsi="Arial"/>
          <w:sz w:val="18"/>
          <w:szCs w:val="18"/>
          <w:color w:val="auto"/>
        </w:rPr>
      </w:pPr>
    </w:p>
    <w:p>
      <w:pPr>
        <w:ind w:left="1000" w:right="80" w:hanging="493"/>
        <w:spacing w:after="0" w:line="259"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January 2021, we completed a public offering of 4,899,000 shares of our common stock (inclusive of 639,000 shares pursuant to the full exercise by the underwriters of their option to purchase additional shares) at a price of $47.00 per share. The aggregate net proceeds from the offering, inclusive of the underwriters’ option exercise, were $216.1 million, net of underwriting discounts and commissions and offering expenses payable by us.</w:t>
      </w:r>
    </w:p>
    <w:p>
      <w:pPr>
        <w:spacing w:after="0" w:line="78" w:lineRule="exact"/>
        <w:rPr>
          <w:rFonts w:ascii="Arial" w:cs="Arial" w:eastAsia="Arial" w:hAnsi="Arial"/>
          <w:sz w:val="18"/>
          <w:szCs w:val="18"/>
          <w:color w:val="auto"/>
        </w:rPr>
      </w:pPr>
    </w:p>
    <w:p>
      <w:pPr>
        <w:ind w:left="1000" w:right="140" w:hanging="493"/>
        <w:spacing w:after="0" w:line="255"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December 2020, we entered into a royalty purchase agreement with HCR to monetize a portion of our Zolgensma royalty stream. Under the agreement, we received a gross up-front payment of $200.0 million from HCR in December 2020. In exchange, HCR received the rights to a capped amount of Zolgensma royalty payments under our license agreement with Novartis Gene Therapies, including a portion of the royalty payments we received in the fourth quarter of 2020. The aggregate net proceeds received from the sale were $192.5 million, net of a $4.0 million deduction from the purchase price as payment for the pledged royalties we received in the fourth quarter of 2020 and other transaction costs payable by us.</w:t>
      </w:r>
    </w:p>
    <w:p>
      <w:pPr>
        <w:spacing w:after="0" w:line="84" w:lineRule="exact"/>
        <w:rPr>
          <w:rFonts w:ascii="Arial" w:cs="Arial" w:eastAsia="Arial" w:hAnsi="Arial"/>
          <w:sz w:val="18"/>
          <w:szCs w:val="18"/>
          <w:color w:val="auto"/>
        </w:rPr>
      </w:pPr>
    </w:p>
    <w:p>
      <w:pPr>
        <w:ind w:left="1000" w:hanging="493"/>
        <w:spacing w:after="0" w:line="293"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Novartis Gene Therapies launched commercial sales of Zolgensma in the second quarter of 2019, upon which we began recognizing royalty revenue on net sales of the licensed product. In accordance with the license agreement, Novartis Gene Therapies was obligated to pay a sales-based milestone fee of $80.0 million to us upon the achievement of $1.0 billion in cumulative net sales of licensed products. Novartis Gene Therapies achieved cumulative net sales of Zolgensma of $1.0 billion in third quarter of 2020 and we received payment of the $80.0 million milestone fee in October 2020. Upon the achievement of this milestone, there are no further development or sales-based milestones remaining under the associated license agreement with Novartis Gene Therapies for the development and commercialization of treatments for SMA.</w:t>
      </w:r>
    </w:p>
    <w:p>
      <w:pPr>
        <w:spacing w:after="0" w:line="164"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We intend to devote the majority of our current capital to clinical development, seeking regulatory approval of our product candidates and capital expenditures to build out additional office, laboratory and manufacturing capacity, including the ongoing buildout of our corporate, manufacturing and research headquarters in Rockville, Maryland. Because of the numerous risks and uncertainties associated with the development and commercialization of gene therapy product candidates, we are unable to estimate the total amount of operating expenditures and capital outlays necessary to complete the development of our product candidates. Additionally, our estimates are based on assumptions that may prove to be wrong, and we may use our available capital resources sooner than we currently expect. Furthermore, given the continuing uncertainty and volatile market and economic conditions caused by the COVID-19 pandemic, as well as the potential for further effects due to a resurgence in COVID-19 infections, we will continue to monitor the nature and extent of the impact of the COVID-19 pandemic on our liquidity and capital resources.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cash flows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218,875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(107,705)</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(406,642)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122,759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93,559</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268,912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Our net cash provided by operating activities for the year ended December 31, 2021 increased by $272.9 million from the year ended December 31, 2020. The increase was largely driven by the up-front payment of $370.0 million received under the AbbVie Collaboration Agreement in November 2021 and an increase in Zolgensma royalties received during the period. The increase was partially offset by the $80 million sales-based milestone payment received in 2020 related to net sales of Zolgensma, and increases in operating expenses in 2021. We expect to incur regular net cash outflows from operations for the foreseeable future as we continue the development and advancement of our product candidates and other research programs.</w:t>
      </w:r>
    </w:p>
    <w:p>
      <w:pPr>
        <w:spacing w:after="0" w:line="16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For the year ended December 31, 2021, our net cash provided by operating activities of $218.9 million consisted of net income of $127.8 million, adjustments for non-cash items of $50.8 million and favorable changes in working capital of $40.2 million. Adjustments for non-cash items primarily consisted of stock-based compensation expense of $38.8 million, depreciation and amortization expense of $9.6 million, net amortization of premiums on marketable debt securities of $5.8 million and non-cash interest expense recognized under our royalty purchase agreement with HCR of $4.6 million, and were partially offset by a realized gain of $5.2 million recognized upon the acquisition of our Corlieve equity securities by uniQure in July 2021. The changes in working capital include an increase in accrued expenses and other current liabilities of $29.9 million which was largely driven by increases in sublicense fees and royalties payable to licensors, income taxes payable and accrued personnel costs. The changes in working capital also included a decrease in accounts receivable of $14.1 million, which was largely driven by amounts collected under our settlement agreement with Abeona, and an increase in operating lease liabilities of $12.1 million, which was largely driven by funds received under our tenant improvement allowance for the ongoing buildout of our new headquarters facility in Rockville, Maryland. The changes in working capital were partially offset by an increase in prepaid expenses of $8.2 million, which was largely driven by advances paid to service providers for clinical trial and manufacturing-related services to be performed in future periods, and an increase in other current assets of $7.3 million, which was largely driven by amounts due from AbbVie for reimbursement of development costs under our RGX-314 collaboration. Other changes in working capital were incurred in the normal course of business.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year ended December 31, 2020, our net cash used in operating activities of $54.1 million consisted of a net loss of $111.3 million, offset by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adjustments for non-cash items of $43.0 million and favorable changes in working capital of $14.2 million. Adjustments for non-cash items primarily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consisted of stock-based compensation expense of $31.9 million, depreciation and amortization expense of $8.4 million and credit losses of $7.7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our accounts receivable from Abeona. The changes in working capital include an increase in accrued expenses and other current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$17.4 million which was largely driven by increases in sublicense fees payable to licensors, accrued external research and development expenses,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taxes payable and accrued personnel costs. The changes in working capital were partially offset by an increase in accounts receivable of $9.9 million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largely driven by an increase in Zolgensma royalties receivable at the end of the period. Other changes in working capital were incurred in the normal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course of business.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For the year ended December 31, 2021, our net cash used in investing activities consisted of $498.1 million to purchase marketable debt securities and $84.2 million to purchase property and equipment, offset by $170.1 million in maturities of marketable debt securities and $5.6 million of proceeds received from the acquisition of our Corlieve equity securities by uniQure in July 2021. The substantial majority of our capital expenditures for the year ended December 31, 2021 were related to the build out of our corporate, manufacturing and research headquarters at 9804 Medical Center Drive in Rockville, Maryland. We expect capital expenditures related to this project to continue into 2022 as we complete the build out of this facility, however, amounts in future periods are expected to decrease as compared to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780" w:firstLine="510"/>
        <w:spacing w:after="0" w:line="263" w:lineRule="auto"/>
        <w:rPr>
          <w:sz w:val="20"/>
          <w:szCs w:val="20"/>
          <w:color w:val="auto"/>
        </w:rPr>
      </w:pPr>
      <w:r>
        <w:rPr>
          <w:rFonts w:ascii="Arial" w:cs="Arial" w:eastAsia="Arial" w:hAnsi="Arial"/>
          <w:sz w:val="18"/>
          <w:szCs w:val="18"/>
          <w:color w:val="auto"/>
        </w:rPr>
        <w:t>For the year ended December 31, 2020, our net cash provided by investing activities consisted of $272.7 million in sales and maturities of marketable debt and equity securities, offset by $123.0 million to purchase marketable debt securities and $26.9 million to purchase property and equipment.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For the year ended December 31, 2021, our net cash provided by financing activities primarily consisted of $216.1 million in net proceeds received from a public offering of our common stock completed in January 2021, net of underwriting discounts and commissions and other offering expenses paid during the period, and $6.0 million in proceeds received from the exercise of stock options and issuance of common stock under our employee stock purchase plan, and was partially offset by $26.6 million of Zolgensma royalties paid to HCR, net of imputed interest, under our royalty purchase agreement.</w:t>
      </w:r>
    </w:p>
    <w:p>
      <w:pPr>
        <w:spacing w:after="0" w:line="188"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For the year ended December 31, 2020, our net cash provided by financing activities consisted of $192.8 million in net proceeds received from the sale of future Zolgensma royalties to HCR, net of transaction costs paid during the period, and $7.4 million in proceeds received from the exercise of stock options and issuance of common stock under our employee stock purchase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Capital Requirements</w:t>
      </w:r>
    </w:p>
    <w:p>
      <w:pPr>
        <w:spacing w:after="0" w:line="11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Our financial obligations primarily consist of vendor contracts to provide research services and other purchase commitments with suppliers.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spacing w:after="0" w:line="188"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Our commitments also include obligations to our licensors under our in-license agreements, which may include sublicense fees, milestones fees, royalties and reimbursement of patent maintenance costs. Sublicense fees are payable to licensors when we sublicense underlying intellectual property to third parties; the fees are based on a percentage of the license fees we receive from sublicensees. Milestone fees are payable to licensors upon our future achievement of certain development and regulatory milestones. Royalties are payable to licensors based on a percentage of net sales of licensed products. Patent maintenance costs are payable to licensors as reimbursement for the cost of maintaining of license patents. Due to the contingent nature of the payments, the amounts and timing of payments to licensors under our in-license agreements are uncertain and may fluctuate significantly from period to period.</w:t>
      </w:r>
    </w:p>
    <w:p>
      <w:pPr>
        <w:spacing w:after="0" w:line="19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We have entered into a number of long-term operating leases for office, laboratory and manufacturing space in Rockville, Maryland and New York, New York, as well as a number of laboratory and other equipment leases. Please refer to Note 6 to the accompanying consolidated financial statements for further information regarding our lease commitments.</w:t>
      </w:r>
    </w:p>
    <w:p>
      <w:pPr>
        <w:spacing w:after="0" w:line="1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Under the terms of our royalty purchase agreement with HCR, our future Zolgensma royalties, less amounts payable by us to certain licensors, will be payable to HCR up to a specified capped amount. As of December 31, 2021, the total amount of future Zolgensma royalties to be paid to HCR under the agreement was $207.8 million if paid by November 7, 2024, or $247.8 million if paid after that date. We have no obligation to repay any amounts to HCR if total future Zolgensma royalty payments are not sufficient to repay these amounts.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incurred cumulative losses since our inception and had an accumulated deficit of $161.2 million as of December 31, 2021. Our transition to recurring profitability is dependent upon achieving a level of revenues adequate to support our cost structure, which depends heavily on the successful development, approval and commercialization of our product candidates. We do not expect to achieve such revenues, and expect to continue to incur losses, for at least the next several years. We expect that our research and development and general and administrative expenses will continue to increase for the foreseeable future as we continue the development of, and seek regulatory approval for, our product candidates. Subject to obtaining regulatory approval for our product candidates, we expect to incur significant commercialization expenses for product sales, marketing, manufacturing and distribution. Additionally, we expect our capital expenditures will continue to increase due to costs associated with building out additional office, laboratory and manufacturing capacity to further support the development of our product candidates and potential commercialization efforts, particularly with respect to the build out of our corporate, manufacturing and research headquarters as discussed above.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of enrollment, commencement and completion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results of our preclinical studies for our product candidates and any subsequent clinical trials;</w:t>
      </w:r>
    </w:p>
    <w:p>
      <w:pPr>
        <w:spacing w:after="0" w:line="117"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associated with building out additional laboratory and manufacturing capacity;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future product sales, medical affairs, marketing, manufacturing and distribution activities for any of our product candidates for which we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revenue, if any, received from commercial sales of our products, should any of our product candidates receive marketing approval;</w:t>
      </w:r>
    </w:p>
    <w:p>
      <w:pPr>
        <w:spacing w:after="0" w:line="128" w:lineRule="exact"/>
        <w:rPr>
          <w:rFonts w:ascii="Arial" w:cs="Arial" w:eastAsia="Arial" w:hAnsi="Arial"/>
          <w:sz w:val="17"/>
          <w:szCs w:val="17"/>
          <w:color w:val="auto"/>
        </w:rPr>
      </w:pPr>
    </w:p>
    <w:p>
      <w:pPr>
        <w:ind w:left="1000" w:right="600" w:hanging="493"/>
        <w:spacing w:after="0" w:line="308"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revenue received from commercial sales of Zolgensma and other revenue, if any, received in connection with commercial sales of our licensees’ and collaborators’ products, should any of their product candidates receive marketing approval;</w:t>
      </w:r>
    </w:p>
    <w:p>
      <w:pPr>
        <w:spacing w:after="0" w:line="3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current licensing agreements or collaborations remaining in effect, including the AbbVie Collaboration Agreement;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licensing agreements or collaborations on favorable terms, if at all;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that may not be commercially available for many years, if at all. In addition, revenue from our NAV Technology Platform licensing is dependent in part on the clinical and commercial success of our licensing partners, including the commercialization of Zolgensma. Accordingly, we will need to continue to rely on additional financing to achieve our business objectives.</w:t>
      </w:r>
    </w:p>
    <w:p>
      <w:pPr>
        <w:spacing w:after="0" w:line="177"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The issuance of additional securities, whether equity or debt, by us, or the possibility of such issuance, may cause the market price of our common stock to decline.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did not have any off-balance sheet arrangements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3900"/>
        <w:spacing w:after="0" w:line="378"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ind w:firstLine="510"/>
        <w:spacing w:after="0" w:line="269" w:lineRule="auto"/>
        <w:rPr>
          <w:sz w:val="20"/>
          <w:szCs w:val="20"/>
          <w:color w:val="auto"/>
        </w:rPr>
      </w:pPr>
      <w:r>
        <w:rPr>
          <w:rFonts w:ascii="Arial" w:cs="Arial" w:eastAsia="Arial" w:hAnsi="Arial"/>
          <w:sz w:val="17"/>
          <w:szCs w:val="17"/>
          <w:color w:val="auto"/>
        </w:rPr>
        <w:t>We are exposed to market risk related to changes in interest rates. Our primary exposure to interest rate risk results from the cash equivalents and marketable securities in our investment portfolio. Our primary objectives in managing our investment portfolio are to preserve principal, maintain proper liquidity to meet operating needs and maximize yields. At any time, significant changes in interest rates can affect the fair value of the investment portfolio and its interest earnings. Currently, we do not hedge these interest rate exposures. As of December 31, 2021 and 2020, we had cash, cash equivalents and marketable securities of $849.3 million and $522.5 million, respectively. Our cash equivalents and marketable securities as of December 31, 2021 consisted of money market mutual funds, U.S. government and agency securities, certificates of deposit and corporate bonds. If market interest rates were to increase immediately and uniformly by 100 basis points, or one percentage point, from levels at December 31, 2021, we estimate that the increase would have resulted in a hypothetical decline of $7.1 million in the net fair value of our interest-sensitive securities. A similar increase in market interest rates as of December 31, 2020 would have resulted in an estimated hypothetical decline of $1.0 million in the net fair value of our interest-sensitive securities as of December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We are exposed to foreign currency exchange rate risk as a result of entering into transactions denominated in currencies other than U.S. dollars, primarily including euros, British pounds and Japanese yen. All foreign currency transactions settle on the applicable spot exchange basis at the time such payments are made. Accordingly, an adverse movement in foreign exchange rates between the U.S. dollar and the aforementioned currencies could impact our results of operations and cash flows. Currently, we do not hedge these foreign currency exchange rate exposures. The effect of a hypothetical 10% change in foreign currency exchange rates applicable to our business would not materially harm our business, financial condition or results of operations.</w:t>
      </w:r>
    </w:p>
    <w:p>
      <w:pPr>
        <w:spacing w:after="0" w:line="3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financial statements and related financial statement schedules required to be filed are listed in the Index to Consolidated Financial Statements and are incorporated herein.</w:t>
      </w: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2021.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December 31, 2021, our disclosure controls and procedures were effective at a reasonable assurance level.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00" w:hanging="493"/>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1000" w:right="200" w:hanging="493"/>
        <w:spacing w:after="0" w:line="263"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and financial officers, we assessed our internal control over financial reporting as of December 31, 2021, based on criteria for effective internal control over financial reporting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 issued by the Committee of Sponsoring Organizations of the Treadway Commission (COSO). In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management’s opinion, we have maintained effective internal control over financial reporting as of December 31, 2021, based on criteria established in the COSO 2013 framework.</w:t>
      </w:r>
    </w:p>
    <w:p>
      <w:pPr>
        <w:spacing w:after="0" w:line="188"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PricewaterhouseCoopers LLP, our independent registered public accounting firm, as stated in their report which accompanies our audited consolidated financial statements appearing elsewhere in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December 31, 2021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information required by this item will be included in our proxy statement for the 2022 annual meeting of stockholders to be filed with the SEC within 120 days of the fiscal year ended December 31, 2021 (2022 Proxy Statement) under the headings “Election of Directors,” “Information about our Executive Officers” and “Corporate Governance” and is incorporated herein by reference.</w:t>
      </w:r>
    </w:p>
    <w:p>
      <w:pPr>
        <w:spacing w:after="0" w:line="184"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maintain a code of business conduct and ethics that qualifies as a “code of ethics” under Item 406 of the SEC’s Regulation S-K and applies to each of our directors, officers and employees, including our principal executive officer, principal financial officer, principal accounting officer and controller, or persons performing similar functions. The code of business conduct and ethics is available in the corporate governance section of our corporate website at www.regenxbio.com. Any amendment or waiver of the “code of ethics” provisions of the code of business conduct and ethics for an executive officer or director may be granted only by our Board of Directors or a committee thereof and must be timely disclosed as required by applicable law. We intend to satisfy the disclosure requirements regarding any such amendment or waiver applicable to any principal executive officer, principal financial officer, principal accounting officer or controller, or persons performing similar functions, in a current report filed with the SEC on Form 8-K or on our corporate website at www.regenxbio.com.</w:t>
      </w:r>
    </w:p>
    <w:p>
      <w:pPr>
        <w:spacing w:after="0" w:line="3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The information required by this item will be included in our 2022 Proxy Statement under the headings “Corporate Governance,” “Director Compensation” and “Executive Compensation” and is incorporated herein by reference.</w:t>
      </w:r>
    </w:p>
    <w:p>
      <w:pPr>
        <w:spacing w:after="0" w:line="355" w:lineRule="exact"/>
        <w:rPr>
          <w:sz w:val="20"/>
          <w:szCs w:val="20"/>
          <w:color w:val="auto"/>
        </w:rPr>
      </w:pPr>
    </w:p>
    <w:p>
      <w:pPr>
        <w:ind w:left="1160" w:right="520" w:hanging="1146"/>
        <w:spacing w:after="0" w:line="277"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6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information required by this item will be included in our 2022 Proxy Statement under the headings “Executive Compensation” and “Security Ownership of Certain Beneficial Owners and Management” and is incorporated herein by reference.</w:t>
      </w: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information required by this item will be included in our 2022 Proxy Statement under the headings “Certain Relationships and Related Party Transactions” and “Corporate Governance” and is incorporated herein by reference.</w:t>
      </w: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by this item will be included in our 2022 Proxy Statement under the heading “Ratification of Appointment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121" w:lineRule="exact"/>
        <w:rPr>
          <w:sz w:val="20"/>
          <w:szCs w:val="20"/>
          <w:color w:val="auto"/>
        </w:rPr>
      </w:pPr>
    </w:p>
    <w:p>
      <w:pPr>
        <w:ind w:left="760" w:hanging="242"/>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1"/>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See Index to Consolidated Financial Statements under Item 8 of this Annual Report on Form 10-K.</w:t>
      </w:r>
    </w:p>
    <w:p>
      <w:pPr>
        <w:spacing w:after="0" w:line="12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or is shown in the financial statements or related notes.</w:t>
      </w:r>
    </w:p>
    <w:p>
      <w:pPr>
        <w:spacing w:after="0" w:line="62" w:lineRule="exact"/>
        <w:rPr>
          <w:rFonts w:ascii="Arial" w:cs="Arial" w:eastAsia="Arial" w:hAnsi="Arial"/>
          <w:sz w:val="18"/>
          <w:szCs w:val="18"/>
          <w:color w:val="auto"/>
        </w:rPr>
      </w:pPr>
    </w:p>
    <w:p>
      <w:pPr>
        <w:ind w:left="1520" w:right="540" w:hanging="500"/>
        <w:spacing w:after="0" w:line="308" w:lineRule="auto"/>
        <w:tabs>
          <w:tab w:leader="none" w:pos="1520" w:val="left"/>
        </w:tabs>
        <w:numPr>
          <w:ilvl w:val="1"/>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Exhibits. </w:t>
      </w:r>
      <w:r>
        <w:rPr>
          <w:rFonts w:ascii="Arial" w:cs="Arial" w:eastAsia="Arial" w:hAnsi="Arial"/>
          <w:sz w:val="17"/>
          <w:szCs w:val="17"/>
          <w:color w:val="auto"/>
        </w:rPr>
        <w:t>We have filed, or incorporated into this Annual Report on Form 10-K by reference, the exhibits listed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accompanying Exhibit Index immediately following the financial statements in this Annual Report on Form 10-K.</w:t>
      </w:r>
    </w:p>
    <w:p>
      <w:pPr>
        <w:spacing w:after="0" w:line="38" w:lineRule="exact"/>
        <w:rPr>
          <w:rFonts w:ascii="Arial" w:cs="Arial" w:eastAsia="Arial" w:hAnsi="Arial"/>
          <w:sz w:val="17"/>
          <w:szCs w:val="17"/>
          <w:color w:val="auto"/>
        </w:rPr>
      </w:pPr>
    </w:p>
    <w:p>
      <w:pPr>
        <w:ind w:left="780" w:hanging="262"/>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See Item 15(a)(3) above.</w:t>
      </w:r>
    </w:p>
    <w:p>
      <w:pPr>
        <w:spacing w:after="0" w:line="117" w:lineRule="exact"/>
        <w:rPr>
          <w:rFonts w:ascii="Arial" w:cs="Arial" w:eastAsia="Arial" w:hAnsi="Arial"/>
          <w:sz w:val="18"/>
          <w:szCs w:val="18"/>
          <w:color w:val="auto"/>
        </w:rPr>
      </w:pPr>
    </w:p>
    <w:p>
      <w:pPr>
        <w:ind w:left="760" w:hanging="242"/>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See Item 15(a)(2) above.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5" w:right="8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0" w:type="dxa"/>
            <w:vAlign w:val="bottom"/>
            <w:gridSpan w:val="8"/>
            <w:vMerge w:val="restart"/>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238)</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0" w:type="dxa"/>
            <w:vAlign w:val="bottom"/>
            <w:gridSpan w:val="8"/>
            <w:vMerge w:val="continue"/>
          </w:tcPr>
          <w:p>
            <w:pPr>
              <w:spacing w:after="0"/>
              <w:rPr>
                <w:sz w:val="14"/>
                <w:szCs w:val="14"/>
                <w:color w:val="auto"/>
              </w:rPr>
            </w:pPr>
          </w:p>
        </w:tc>
        <w:tc>
          <w:tcPr>
            <w:tcW w:w="4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658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10140" w:type="dxa"/>
            <w:vAlign w:val="bottom"/>
            <w:gridSpan w:val="7"/>
          </w:tcPr>
          <w:p>
            <w:pPr>
              <w:spacing w:after="0" w:line="190"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Balance Sheets</w:t>
              </w:r>
            </w:hyperlink>
          </w:p>
        </w:tc>
        <w:tc>
          <w:tcPr>
            <w:tcW w:w="4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3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Statements of Operations and Comprehensive Income (Loss)</w:t>
              </w:r>
            </w:hyperlink>
          </w:p>
        </w:tc>
        <w:tc>
          <w:tcPr>
            <w:tcW w:w="476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140" w:type="dxa"/>
            <w:vAlign w:val="bottom"/>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Stockholders’ Equity</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5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Statements of Cash Flows</w:t>
              </w:r>
            </w:hyperlink>
          </w:p>
        </w:tc>
        <w:tc>
          <w:tcPr>
            <w:tcW w:w="660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0140" w:type="dxa"/>
            <w:vAlign w:val="bottom"/>
            <w:gridSpan w:val="7"/>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884"/>
        </w:trPr>
        <w:tc>
          <w:tcPr>
            <w:tcW w:w="66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2240" w:type="dxa"/>
            <w:vAlign w:val="bottom"/>
            <w:gridSpan w:val="3"/>
          </w:tcPr>
          <w:p>
            <w:pPr>
              <w:jc w:val="right"/>
              <w:ind w:right="320"/>
              <w:spacing w:after="0"/>
              <w:rPr>
                <w:sz w:val="20"/>
                <w:szCs w:val="20"/>
                <w:color w:val="auto"/>
              </w:rPr>
            </w:pPr>
            <w:r>
              <w:rPr>
                <w:rFonts w:ascii="Arial" w:cs="Arial" w:eastAsia="Arial" w:hAnsi="Arial"/>
                <w:sz w:val="18"/>
                <w:szCs w:val="18"/>
                <w:color w:val="auto"/>
              </w:rPr>
              <w:t>84</w:t>
            </w:r>
          </w:p>
        </w:tc>
        <w:tc>
          <w:tcPr>
            <w:tcW w:w="4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REGENXBIO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REGENXBIO Inc. and its subsidiaries (the “Company”) as of December 31, 2021 and 2020, and the related consolidated statements of operations and comprehensive income (loss),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7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 Substantive Termination Penalties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described in Notes 2 and 10 to the consolidated financial statements, at the inception of each license agreement, management determines the contract term for purposes of applying the requirements of generally accepted accounting policies relevant to revenue recognition. Licenses are generally terminable at the option of the licensee with advance notice to the Company. For each license granted, including licenses granted upon the exercise of license options, management evaluates these termination rights to determine whether a substantive termination penalty would be incurred by the licensee upon termination. If the licensee incurs a substantive termination penalty upon termination, the contract term for revenue recognition purposes is generally equal to the stated term of the license, which is the life of the underlying licensed patents. Alternatively, if the licensee does not incur a substantive termination penalty upon termination, the contract term for revenue recognition purposes may be shorter than the stated term of the license, in which case the termination rights may be accounted for as contract renewal options. The determination of whether a substantive termination penalty is associated with the termination rights requires significant judgment. In making this determination, management considers, among other things, the nature of the intellectual property rights that would be returned to the Company upon termination, including the exclusivity of the licensed rights and the stage of development of the licensed products, the payment terms, including the amount and timing of non-refundable or guaranteed payments, and the business purpose of the termination rights granted to the licensee. Generally, the most significant judgment in determining whether a substantive termination penalty exists relates to the amount of any up-front or guaranteed non-refundable payments relative to the amount of annual payments that may be avoided by the licensee upon termination of the license. Management considers all of the facts and circumstances relevant to each license when making this determination. License revenue makes up a portion of the Company’s consolidated license and royalty revenue of $470.3 million for the year ended December 31, 2021.</w:t>
      </w:r>
    </w:p>
    <w:p>
      <w:pPr>
        <w:spacing w:after="0" w:line="16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license revenue, specifically substantive termination penalties, is a critical audit matter are the significant judgment by management in determining whether each license granted, including licenses granted upon the exercise of license options, had substantive termination penalties used to determine the contract term for revenue recognition. This in turn led to significant auditor judgment, subjectivity and effort in performing procedures to evaluate the audit evidence obtained relating to management’s determination of the existence of a substantive termination penalty in license revenue agreements.</w:t>
      </w:r>
    </w:p>
    <w:p>
      <w:pPr>
        <w:spacing w:after="0" w:line="1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the existence of a substantive termination penalty in license revenue agreements. These procedures also included, among others, evaluating and testing, for a sample of license revenue contracts, management’s process for determining whether a licensee incurs a substantive termination penalty upon termination, which included evaluating (i) the nature of the license, (ii) the payment terms, (iii) the business purpose of contract terms that include termination rights, and (iv) the impact of contract cancellation on other performance obligations, if any, in the contract.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345,209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112,230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of $7,678 as of December 31, 2020)</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18,752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518,826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391,907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Accounts receivable (net of allowance of $3,758 as of December 31, 2021)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131,547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60,904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1,113,904</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708,164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11,387</w:t>
            </w:r>
          </w:p>
        </w:tc>
        <w:tc>
          <w:tcPr>
            <w:tcW w:w="2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76,111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Liability related to sale of future royalties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37,889</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130,472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84,929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Liability related to sale of future royalties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133,460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349,606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 shares authorized, no shares issued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at December 31, 2021 and 2020</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100,000 shares authorized at December 31, 2021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and 2020; 42,831 and 37,476 shares issued and outstanding at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December 31, 2021 and 2020,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928,095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(2,569)</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(161,232)</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(289,072)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764,298</w:t>
            </w:r>
          </w:p>
        </w:tc>
        <w:tc>
          <w:tcPr>
            <w:tcW w:w="2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1,113,904</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708,164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License and royalty revenue</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470,347</w:t>
            </w:r>
          </w:p>
        </w:tc>
        <w:tc>
          <w:tcPr>
            <w:tcW w:w="6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154,567</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1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470,347</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154,567</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181,437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166,294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79,333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Credit losses (recoveries) and other</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(2,236)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310,367</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273,800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500"/>
              <w:spacing w:after="0"/>
              <w:rPr>
                <w:sz w:val="20"/>
                <w:szCs w:val="20"/>
                <w:color w:val="auto"/>
              </w:rPr>
            </w:pPr>
            <w:r>
              <w:rPr>
                <w:rFonts w:ascii="Arial" w:cs="Arial" w:eastAsia="Arial" w:hAnsi="Arial"/>
                <w:sz w:val="18"/>
                <w:szCs w:val="18"/>
                <w:color w:val="auto"/>
              </w:rPr>
              <w:t>Income (loss) from operations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159,980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Interest income from licensing</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income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(26,277)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(771)</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1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(18,733)</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500"/>
              <w:spacing w:after="0"/>
              <w:rPr>
                <w:sz w:val="20"/>
                <w:szCs w:val="20"/>
                <w:color w:val="auto"/>
              </w:rPr>
            </w:pPr>
            <w:r>
              <w:rPr>
                <w:rFonts w:ascii="Arial" w:cs="Arial" w:eastAsia="Arial" w:hAnsi="Arial"/>
                <w:sz w:val="18"/>
                <w:szCs w:val="18"/>
                <w:color w:val="auto"/>
              </w:rPr>
              <w:t>Income (loss) before income taxes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141,247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(13,407)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(5,240)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income (loss)</w:t>
            </w:r>
          </w:p>
        </w:tc>
        <w:tc>
          <w:tcPr>
            <w:tcW w:w="11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127,840</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(111,250)</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Unrealized gain (loss) on available-for-sale securities, net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(2,209)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Comprehensive income (loss)</w:t>
            </w:r>
          </w:p>
        </w:tc>
        <w:tc>
          <w:tcPr>
            <w:tcW w:w="1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125,631</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(111,815)</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(93,848)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 (loss) per share: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FF0FC"/>
            </w:tcBorders>
            <w:vMerge w:val="continue"/>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common shares outstanding:</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42,438</w:t>
            </w:r>
          </w:p>
        </w:tc>
        <w:tc>
          <w:tcPr>
            <w:tcW w:w="6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37,281</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36,690</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43,913</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40"/>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5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2018</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36,120</w:t>
            </w:r>
          </w:p>
        </w:tc>
        <w:tc>
          <w:tcPr>
            <w:tcW w:w="940" w:type="dxa"/>
            <w:vAlign w:val="bottom"/>
            <w:gridSpan w:val="2"/>
            <w:shd w:val="clear" w:color="auto" w:fill="CFF0FC"/>
          </w:tcPr>
          <w:p>
            <w:pPr>
              <w:jc w:val="right"/>
              <w:ind w:right="548"/>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592,580</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(720)</w:t>
            </w: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(83,016)</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Adoption of ASU 2016-02 (Topic 842)</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Adoption of ASU 2018-02</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6"/>
                <w:szCs w:val="16"/>
                <w:color w:val="auto"/>
              </w:rPr>
              <w:t>Issuance of common stock under employee</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120"/>
              <w:spacing w:after="0"/>
              <w:rPr>
                <w:sz w:val="20"/>
                <w:szCs w:val="20"/>
                <w:color w:val="auto"/>
              </w:rPr>
            </w:pPr>
            <w:r>
              <w:rPr>
                <w:rFonts w:ascii="Arial" w:cs="Arial" w:eastAsia="Arial" w:hAnsi="Arial"/>
                <w:sz w:val="16"/>
                <w:szCs w:val="16"/>
                <w:color w:val="auto"/>
              </w:rPr>
              <w:t>stock purchase plan</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Unrealized gain on available-for-sale securities, net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(94,733)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(94,733)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6"/>
                <w:szCs w:val="16"/>
                <w:b w:val="1"/>
                <w:bCs w:val="1"/>
                <w:color w:val="auto"/>
              </w:rPr>
              <w:t>Balances at December 31, 2019</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2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36,992</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627,810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(177,822)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450,197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20"/>
                <w:szCs w:val="20"/>
                <w:color w:val="auto"/>
              </w:rPr>
            </w:pPr>
            <w:r>
              <w:rPr>
                <w:rFonts w:ascii="Arial" w:cs="Arial" w:eastAsia="Arial" w:hAnsi="Arial"/>
                <w:sz w:val="16"/>
                <w:szCs w:val="16"/>
                <w:color w:val="auto"/>
              </w:rPr>
              <w:t>Issuance of common stock under employee</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120"/>
              <w:spacing w:after="0"/>
              <w:rPr>
                <w:sz w:val="20"/>
                <w:szCs w:val="20"/>
                <w:color w:val="auto"/>
              </w:rPr>
            </w:pPr>
            <w:r>
              <w:rPr>
                <w:rFonts w:ascii="Arial" w:cs="Arial" w:eastAsia="Arial" w:hAnsi="Arial"/>
                <w:sz w:val="16"/>
                <w:szCs w:val="16"/>
                <w:color w:val="auto"/>
              </w:rPr>
              <w:t>stock purchase plan</w:t>
            </w: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Unrealized loss on available-for-sale securities, net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(111,250)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(111,250)</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6"/>
                <w:szCs w:val="16"/>
                <w:b w:val="1"/>
                <w:bCs w:val="1"/>
                <w:color w:val="auto"/>
              </w:rPr>
              <w:t>Balances at December 31, 2020</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2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37,476</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667,181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(289,072)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377,753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upon public offering,</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of transaction costs of $14,194</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4,899</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216,059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Exercise of stock options, net of tax</w:t>
            </w:r>
          </w:p>
        </w:tc>
        <w:tc>
          <w:tcPr>
            <w:tcW w:w="880" w:type="dxa"/>
            <w:vAlign w:val="bottom"/>
          </w:tcPr>
          <w:p>
            <w:pPr>
              <w:jc w:val="right"/>
              <w:spacing w:after="0"/>
              <w:rPr>
                <w:sz w:val="20"/>
                <w:szCs w:val="20"/>
                <w:color w:val="auto"/>
              </w:rPr>
            </w:pPr>
            <w:r>
              <w:rPr>
                <w:rFonts w:ascii="Arial" w:cs="Arial" w:eastAsia="Arial" w:hAnsi="Arial"/>
                <w:sz w:val="16"/>
                <w:szCs w:val="16"/>
                <w:color w:val="auto"/>
              </w:rPr>
              <w:t>403</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employee</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purchase plan</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38,808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Unrealized loss on available-for-sale securities, net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income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127,840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127,840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2021</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42,831</w:t>
            </w:r>
          </w:p>
        </w:tc>
        <w:tc>
          <w:tcPr>
            <w:tcW w:w="940" w:type="dxa"/>
            <w:vAlign w:val="bottom"/>
            <w:gridSpan w:val="2"/>
            <w:shd w:val="clear" w:color="auto" w:fill="CFF0FC"/>
          </w:tcPr>
          <w:p>
            <w:pPr>
              <w:jc w:val="right"/>
              <w:ind w:right="548"/>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928,095</w:t>
            </w:r>
          </w:p>
        </w:tc>
        <w:tc>
          <w:tcPr>
            <w:tcW w:w="42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(2,569)</w:t>
            </w: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(161,232)</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764,298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36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156"/>
        </w:trPr>
        <w:tc>
          <w:tcPr>
            <w:tcW w:w="63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Net income (loss)</w:t>
            </w:r>
          </w:p>
        </w:tc>
        <w:tc>
          <w:tcPr>
            <w:tcW w:w="9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127,840</w:t>
            </w:r>
          </w:p>
        </w:tc>
        <w:tc>
          <w:tcPr>
            <w:tcW w:w="2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(111,250)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(94,733)</w:t>
            </w:r>
          </w:p>
        </w:tc>
      </w:tr>
      <w:tr>
        <w:trPr>
          <w:trHeight w:val="143"/>
        </w:trPr>
        <w:tc>
          <w:tcPr>
            <w:tcW w:w="63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Adjustments to reconcile net income (loss) to net cash provided by</w:t>
            </w: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(used in) operating activities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38,808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31,949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26,854</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and amortization</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9,564</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7,152</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4"/>
                <w:szCs w:val="14"/>
                <w:color w:val="auto"/>
              </w:rPr>
              <w:t>Provision for credit losses (recoveries)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(2,569)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7,678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amortization of premiums (accretion of discounts) on marketable debt securities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(1,196)</w:t>
            </w:r>
          </w:p>
        </w:tc>
      </w:tr>
      <w:tr>
        <w:trPr>
          <w:trHeight w:val="162"/>
        </w:trPr>
        <w:tc>
          <w:tcPr>
            <w:tcW w:w="6360" w:type="dxa"/>
            <w:vAlign w:val="bottom"/>
          </w:tcPr>
          <w:p>
            <w:pPr>
              <w:ind w:left="260"/>
              <w:spacing w:after="0"/>
              <w:rPr>
                <w:sz w:val="20"/>
                <w:szCs w:val="20"/>
                <w:color w:val="auto"/>
              </w:rPr>
            </w:pPr>
            <w:r>
              <w:rPr>
                <w:rFonts w:ascii="Arial" w:cs="Arial" w:eastAsia="Arial" w:hAnsi="Arial"/>
                <w:sz w:val="14"/>
                <w:szCs w:val="14"/>
                <w:color w:val="auto"/>
              </w:rPr>
              <w:t>Net gains on investments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(5,189)</w:t>
            </w:r>
          </w:p>
        </w:tc>
        <w:tc>
          <w:tcPr>
            <w:tcW w:w="26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(4,918)</w:t>
            </w: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(37,774)</w:t>
            </w: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Imputed interest income from licensing</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(360)</w:t>
            </w: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(2,163)</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(2,951)</w:t>
            </w:r>
          </w:p>
        </w:tc>
      </w:tr>
      <w:tr>
        <w:trPr>
          <w:trHeight w:val="162"/>
        </w:trPr>
        <w:tc>
          <w:tcPr>
            <w:tcW w:w="6360" w:type="dxa"/>
            <w:vAlign w:val="bottom"/>
          </w:tcPr>
          <w:p>
            <w:pPr>
              <w:ind w:left="260"/>
              <w:spacing w:after="0"/>
              <w:rPr>
                <w:sz w:val="20"/>
                <w:szCs w:val="20"/>
                <w:color w:val="auto"/>
              </w:rPr>
            </w:pPr>
            <w:r>
              <w:rPr>
                <w:rFonts w:ascii="Arial" w:cs="Arial" w:eastAsia="Arial" w:hAnsi="Arial"/>
                <w:sz w:val="14"/>
                <w:szCs w:val="14"/>
                <w:color w:val="auto"/>
              </w:rPr>
              <w:t>Non-cash interest expense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4,642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non-cash adjustments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14,118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(9,898)</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(8,622)</w:t>
            </w:r>
          </w:p>
        </w:tc>
      </w:tr>
      <w:tr>
        <w:trPr>
          <w:trHeight w:val="162"/>
        </w:trPr>
        <w:tc>
          <w:tcPr>
            <w:tcW w:w="6360" w:type="dxa"/>
            <w:vAlign w:val="bottom"/>
          </w:tcPr>
          <w:p>
            <w:pPr>
              <w:ind w:left="500"/>
              <w:spacing w:after="0"/>
              <w:rPr>
                <w:sz w:val="20"/>
                <w:szCs w:val="20"/>
                <w:color w:val="auto"/>
              </w:rPr>
            </w:pPr>
            <w:r>
              <w:rPr>
                <w:rFonts w:ascii="Arial" w:cs="Arial" w:eastAsia="Arial" w:hAnsi="Arial"/>
                <w:sz w:val="14"/>
                <w:szCs w:val="14"/>
                <w:color w:val="auto"/>
              </w:rPr>
              <w:t>Prepaid expenses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(8,247)</w:t>
            </w:r>
          </w:p>
        </w:tc>
        <w:tc>
          <w:tcPr>
            <w:tcW w:w="26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(4,030)</w:t>
            </w: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(973)</w:t>
            </w: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current assets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(7,314)</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2,341</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(499)</w:t>
            </w:r>
          </w:p>
        </w:tc>
      </w:tr>
      <w:tr>
        <w:trPr>
          <w:trHeight w:val="162"/>
        </w:trPr>
        <w:tc>
          <w:tcPr>
            <w:tcW w:w="6360" w:type="dxa"/>
            <w:vAlign w:val="bottom"/>
          </w:tcPr>
          <w:p>
            <w:pPr>
              <w:ind w:left="500"/>
              <w:spacing w:after="0"/>
              <w:rPr>
                <w:sz w:val="20"/>
                <w:szCs w:val="20"/>
                <w:color w:val="auto"/>
              </w:rPr>
            </w:pPr>
            <w:r>
              <w:rPr>
                <w:rFonts w:ascii="Arial" w:cs="Arial" w:eastAsia="Arial" w:hAnsi="Arial"/>
                <w:sz w:val="14"/>
                <w:szCs w:val="14"/>
                <w:color w:val="auto"/>
              </w:rPr>
              <w:t>Operating lease right-of-use assets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4,866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2,431</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assets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(2,272)</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(2,694)</w:t>
            </w:r>
          </w:p>
        </w:tc>
      </w:tr>
      <w:tr>
        <w:trPr>
          <w:trHeight w:val="162"/>
        </w:trPr>
        <w:tc>
          <w:tcPr>
            <w:tcW w:w="636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(2,304)</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29,908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17,400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6,882</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4"/>
                <w:szCs w:val="14"/>
                <w:color w:val="auto"/>
              </w:rPr>
              <w:t>Deferred revenue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(899)</w:t>
            </w:r>
          </w:p>
        </w:tc>
        <w:tc>
          <w:tcPr>
            <w:tcW w:w="26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(600)</w:t>
            </w: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Operating lease liabilities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12,073</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(2,255)</w:t>
            </w:r>
          </w:p>
        </w:tc>
      </w:tr>
      <w:tr>
        <w:trPr>
          <w:trHeight w:val="162"/>
        </w:trPr>
        <w:tc>
          <w:tcPr>
            <w:tcW w:w="6360" w:type="dxa"/>
            <w:vAlign w:val="bottom"/>
          </w:tcPr>
          <w:p>
            <w:pPr>
              <w:ind w:left="500"/>
              <w:spacing w:after="0"/>
              <w:rPr>
                <w:sz w:val="20"/>
                <w:szCs w:val="20"/>
                <w:color w:val="auto"/>
              </w:rPr>
            </w:pPr>
            <w:r>
              <w:rPr>
                <w:rFonts w:ascii="Arial" w:cs="Arial" w:eastAsia="Arial" w:hAnsi="Arial"/>
                <w:sz w:val="14"/>
                <w:szCs w:val="14"/>
                <w:color w:val="auto"/>
              </w:rPr>
              <w:t>Other liabilities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(1,224)</w:t>
            </w: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(523)</w:t>
            </w:r>
          </w:p>
        </w:tc>
      </w:tr>
      <w:tr>
        <w:trPr>
          <w:trHeight w:val="156"/>
        </w:trPr>
        <w:tc>
          <w:tcPr>
            <w:tcW w:w="636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6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218,875</w:t>
            </w:r>
          </w:p>
        </w:tc>
        <w:tc>
          <w:tcPr>
            <w:tcW w:w="2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(54,061)</w:t>
            </w:r>
          </w:p>
        </w:tc>
        <w:tc>
          <w:tcPr>
            <w:tcW w:w="2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(107,705)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Purchases of marketable debt securities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(498,144)</w:t>
            </w: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(123,041)</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(190,735)</w:t>
            </w: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Maturities of marketable debt securities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170,086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233,468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289,994</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Sales of marketable debt securities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Sales of equity securities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5,591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36,914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6,020</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(84,175)</w:t>
            </w: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(26,869)</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(11,720)</w:t>
            </w:r>
          </w:p>
        </w:tc>
      </w:tr>
      <w:tr>
        <w:trPr>
          <w:trHeight w:val="155"/>
        </w:trPr>
        <w:tc>
          <w:tcPr>
            <w:tcW w:w="6360" w:type="dxa"/>
            <w:vAlign w:val="bottom"/>
          </w:tcPr>
          <w:p>
            <w:pPr>
              <w:ind w:left="74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6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(406,642)</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122,759</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93,559</w:t>
            </w:r>
          </w:p>
        </w:tc>
        <w:tc>
          <w:tcPr>
            <w:tcW w:w="100" w:type="dxa"/>
            <w:vAlign w:val="bottom"/>
          </w:tcPr>
          <w:p>
            <w:pPr>
              <w:spacing w:after="0"/>
              <w:rPr>
                <w:sz w:val="13"/>
                <w:szCs w:val="13"/>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4,281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5,623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7,062</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Taxes paid related to net settlement of stock options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4"/>
                <w:szCs w:val="14"/>
                <w:color w:val="auto"/>
              </w:rPr>
            </w:pPr>
          </w:p>
        </w:tc>
      </w:tr>
      <w:tr>
        <w:trPr>
          <w:trHeight w:val="143"/>
        </w:trPr>
        <w:tc>
          <w:tcPr>
            <w:tcW w:w="63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Proceeds from public offering of common stock, net of underwriting discounts</w:t>
            </w: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63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commissions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216,438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Issuance costs for public offering of common stock</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(379)</w:t>
            </w:r>
          </w:p>
        </w:tc>
        <w:tc>
          <w:tcPr>
            <w:tcW w:w="26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future royalties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196,000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Repayments under liability related to sale of future royalties, net of imputed interest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(26,591)</w:t>
            </w:r>
          </w:p>
        </w:tc>
        <w:tc>
          <w:tcPr>
            <w:tcW w:w="26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Transaction costs for sale of future royalties</w:t>
            </w: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(265)</w:t>
            </w: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(3,208)</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5"/>
        </w:trPr>
        <w:tc>
          <w:tcPr>
            <w:tcW w:w="636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6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195,250</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200,214</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8,376</w:t>
            </w:r>
          </w:p>
        </w:tc>
        <w:tc>
          <w:tcPr>
            <w:tcW w:w="100" w:type="dxa"/>
            <w:vAlign w:val="bottom"/>
            <w:tcBorders>
              <w:bottom w:val="single" w:sz="8" w:color="CFF0FC"/>
            </w:tcBorders>
          </w:tcPr>
          <w:p>
            <w:pPr>
              <w:spacing w:after="0"/>
              <w:rPr>
                <w:sz w:val="13"/>
                <w:szCs w:val="13"/>
                <w:color w:val="auto"/>
              </w:rPr>
            </w:pPr>
          </w:p>
        </w:tc>
      </w:tr>
      <w:tr>
        <w:trPr>
          <w:trHeight w:val="156"/>
        </w:trPr>
        <w:tc>
          <w:tcPr>
            <w:tcW w:w="636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Net increase (decrease) in cash and cash equivalents and restricted cash</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7,483</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268,912</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(5,770)</w:t>
            </w:r>
          </w:p>
        </w:tc>
        <w:tc>
          <w:tcPr>
            <w:tcW w:w="100" w:type="dxa"/>
            <w:vAlign w:val="bottom"/>
            <w:shd w:val="clear" w:color="auto" w:fill="CFF0FC"/>
          </w:tcPr>
          <w:p>
            <w:pPr>
              <w:spacing w:after="0"/>
              <w:rPr>
                <w:sz w:val="13"/>
                <w:szCs w:val="13"/>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4"/>
                <w:szCs w:val="14"/>
                <w:b w:val="1"/>
                <w:bCs w:val="1"/>
                <w:color w:val="auto"/>
              </w:rPr>
              <w:t>Cash and cash equivalents and restricted cash</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Beginning of period</w:t>
            </w:r>
          </w:p>
        </w:tc>
        <w:tc>
          <w:tcPr>
            <w:tcW w:w="6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339,756</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70,844</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76,614</w:t>
            </w:r>
          </w:p>
        </w:tc>
        <w:tc>
          <w:tcPr>
            <w:tcW w:w="100" w:type="dxa"/>
            <w:vAlign w:val="bottom"/>
            <w:shd w:val="clear" w:color="auto" w:fill="CFF0FC"/>
          </w:tcPr>
          <w:p>
            <w:pPr>
              <w:spacing w:after="0"/>
              <w:rPr>
                <w:sz w:val="14"/>
                <w:szCs w:val="14"/>
                <w:color w:val="auto"/>
              </w:rPr>
            </w:pPr>
          </w:p>
        </w:tc>
      </w:tr>
      <w:tr>
        <w:trPr>
          <w:trHeight w:val="195"/>
        </w:trPr>
        <w:tc>
          <w:tcPr>
            <w:tcW w:w="63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End of period</w:t>
            </w:r>
          </w:p>
        </w:tc>
        <w:tc>
          <w:tcPr>
            <w:tcW w:w="6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347,239</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339,756</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70,844</w:t>
            </w:r>
          </w:p>
        </w:tc>
        <w:tc>
          <w:tcPr>
            <w:tcW w:w="100" w:type="dxa"/>
            <w:vAlign w:val="bottom"/>
            <w:tcBorders>
              <w:bottom w:val="single" w:sz="8" w:color="CFF0FC"/>
            </w:tcBorders>
          </w:tcPr>
          <w:p>
            <w:pPr>
              <w:spacing w:after="0"/>
              <w:rPr>
                <w:sz w:val="17"/>
                <w:szCs w:val="17"/>
                <w:color w:val="auto"/>
              </w:rPr>
            </w:pPr>
          </w:p>
        </w:tc>
      </w:tr>
      <w:tr>
        <w:trPr>
          <w:trHeight w:val="143"/>
        </w:trPr>
        <w:tc>
          <w:tcPr>
            <w:tcW w:w="63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Cash paid (received) for income taxes</w:t>
            </w:r>
          </w:p>
        </w:tc>
        <w:tc>
          <w:tcPr>
            <w:tcW w:w="9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5,996</w:t>
            </w:r>
          </w:p>
        </w:tc>
        <w:tc>
          <w:tcPr>
            <w:tcW w:w="2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(191)</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904</w:t>
            </w: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Cash paid for imputed interest under liability related to sale of future royalties</w:t>
            </w:r>
          </w:p>
        </w:tc>
        <w:tc>
          <w:tcPr>
            <w:tcW w:w="92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21,635</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Pr>
          <w:p>
            <w:pPr>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Increase in accounts payable and accrued liabilities related to purchases of property and equipment</w:t>
            </w:r>
          </w:p>
        </w:tc>
        <w:tc>
          <w:tcPr>
            <w:tcW w:w="92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1,572</w:t>
            </w:r>
          </w:p>
        </w:tc>
        <w:tc>
          <w:tcPr>
            <w:tcW w:w="100" w:type="dxa"/>
            <w:vAlign w:val="bottom"/>
            <w:shd w:val="clear" w:color="auto" w:fill="CFF0FC"/>
          </w:tcPr>
          <w:p>
            <w:pPr>
              <w:spacing w:after="0"/>
              <w:rPr>
                <w:sz w:val="14"/>
                <w:szCs w:val="14"/>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Non-cash additions to property and equipment through tenant improvement allowance</w:t>
            </w:r>
          </w:p>
        </w:tc>
        <w:tc>
          <w:tcPr>
            <w:tcW w:w="9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2,263</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Non-cash consideration received for licenses granted</w:t>
            </w:r>
          </w:p>
        </w:tc>
        <w:tc>
          <w:tcPr>
            <w:tcW w:w="92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Pr>
          <w:p>
            <w:pPr>
              <w:spacing w:after="0"/>
              <w:rPr>
                <w:sz w:val="20"/>
                <w:szCs w:val="20"/>
                <w:color w:val="auto"/>
              </w:rPr>
            </w:pPr>
            <w:r>
              <w:rPr>
                <w:rFonts w:ascii="Arial" w:cs="Arial" w:eastAsia="Arial" w:hAnsi="Arial"/>
                <w:sz w:val="14"/>
                <w:szCs w:val="14"/>
                <w:color w:val="auto"/>
              </w:rPr>
              <w:t>Transaction costs for sale of future royalties in accounts payable and other current liabilities</w:t>
            </w:r>
          </w:p>
        </w:tc>
        <w:tc>
          <w:tcPr>
            <w:tcW w:w="9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4"/>
                <w:szCs w:val="14"/>
                <w:color w:val="auto"/>
              </w:rPr>
              <w:t>Proceeds due to Company from sales of non-marketable equity securities</w:t>
            </w:r>
          </w:p>
        </w:tc>
        <w:tc>
          <w:tcPr>
            <w:tcW w:w="92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60" w:firstLine="382"/>
        <w:spacing w:after="0" w:line="290" w:lineRule="auto"/>
        <w:rPr>
          <w:sz w:val="20"/>
          <w:szCs w:val="20"/>
          <w:color w:val="auto"/>
        </w:rPr>
      </w:pPr>
      <w:r>
        <w:rPr>
          <w:rFonts w:ascii="Arial" w:cs="Arial" w:eastAsia="Arial" w:hAnsi="Arial"/>
          <w:sz w:val="16"/>
          <w:szCs w:val="16"/>
          <w:color w:val="auto"/>
        </w:rPr>
        <w:t>REGENXBIO Inc. (the Company) is a clinical-stage biotechnology company seeking to improve lives through the curative potential of gene therapy. The Company has developed a broad pipeline of gene therapy product candidates using its proprietary adeno-associated virus (AAV) gene delivery platform (NAV Technology Platform), which consists of exclusive rights to over 100 novel AAV vectors, including AAV7, AAV8, AAV9 and AAVrh10. In addition to its internal product development efforts, the Company also selectively licenses the NAV® Technology Platform to other leading biotechnology and pharmaceutical companies (NAV Technology Licensees). As of December 31, 2021, the NAV Technology Platform was being applied by NAV Technology Licensees in one commercially available product, Zolgensma®, and in the preclinical and clinical development of a number of licensed products. Additionally, the Company has licensed intellectual property rights to collaborators for the joint development and commercialization of certain product candidates. The Company was formed in 2008 in the State of Delaware and is headquartered in Rockville, Maryland.</w:t>
      </w:r>
    </w:p>
    <w:p>
      <w:pPr>
        <w:spacing w:after="0" w:line="165" w:lineRule="exact"/>
        <w:rPr>
          <w:sz w:val="20"/>
          <w:szCs w:val="20"/>
          <w:color w:val="auto"/>
        </w:rPr>
      </w:pPr>
    </w:p>
    <w:p>
      <w:pPr>
        <w:ind w:right="60" w:firstLine="382"/>
        <w:spacing w:after="0" w:line="293" w:lineRule="auto"/>
        <w:rPr>
          <w:sz w:val="20"/>
          <w:szCs w:val="20"/>
          <w:color w:val="auto"/>
        </w:rPr>
      </w:pPr>
      <w:r>
        <w:rPr>
          <w:rFonts w:ascii="Arial" w:cs="Arial" w:eastAsia="Arial" w:hAnsi="Arial"/>
          <w:sz w:val="16"/>
          <w:szCs w:val="16"/>
          <w:color w:val="auto"/>
        </w:rPr>
        <w:t>As of December 31, 2021, the Company had generated an accumulated deficit of $161.2 million since inception. As the Company has incurred cumulative losses since inception, transition to recurring profitability is dependent upon achieving a level of revenues adequate to support the Company’s cost structure, which depends heavily on the successful development, approval and commercialization of its product candidates. The Company may never achieve recurring profitability, and unless and until it does, the Company will continue to need to raise additional capital, to the extent possible. As of December 31, 2021, the Company had cash, cash equivalents and marketable securities of $849.3 million, which management believes is sufficient to fund operations for at least the next 12 months from the date these consolidated financial statements were issued.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jc w:val="both"/>
        <w:ind w:right="140" w:firstLine="382"/>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the Company and its wholly owned subsidiaries. All intercompany balances and transactions have been eliminated in consolidation.</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firstLine="382"/>
        <w:spacing w:after="0" w:line="308" w:lineRule="auto"/>
        <w:rPr>
          <w:sz w:val="20"/>
          <w:szCs w:val="20"/>
          <w:color w:val="auto"/>
        </w:rPr>
      </w:pPr>
      <w:r>
        <w:rPr>
          <w:rFonts w:ascii="Arial" w:cs="Arial" w:eastAsia="Arial" w:hAnsi="Arial"/>
          <w:sz w:val="17"/>
          <w:szCs w:val="17"/>
          <w:color w:val="auto"/>
        </w:rPr>
        <w:t>The functional currency of the Company and its consolidated subsidiaries is the U.S. dollar. Transaction gains and losses that arise from exchange rate fluctuations on transactions denominated in currencies other than the U.S. dollar are included in results of operations as incurred.</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382"/>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reported amounts of assets, liabilities, revenues and expenses and related disclosure of contingent assets and liabilities for the periods presented. Management bases its estimates on historical experience and various other factors that it believes are reasonable under the circumstances, the results of which form the basis for making judgments about the carrying value of assets and liabilities, and other reported amounts, that are not readily apparent from other sources. Actual results may differ materially from these estimates. Significant estimates are used in the following areas, among others: license and royalty revenue, the allowance for credit losses, accrued research and development expenses and other accrued liabilities, stock-based compensation expense, interest expense under the liability related to the sale of future royalties, income taxes and the fair value of financial instruments.</w:t>
      </w:r>
    </w:p>
    <w:p>
      <w:pPr>
        <w:spacing w:after="0" w:line="166" w:lineRule="exact"/>
        <w:rPr>
          <w:sz w:val="20"/>
          <w:szCs w:val="20"/>
          <w:color w:val="auto"/>
        </w:rPr>
      </w:pPr>
    </w:p>
    <w:p>
      <w:pPr>
        <w:ind w:right="200" w:firstLine="382"/>
        <w:spacing w:after="0" w:line="257" w:lineRule="auto"/>
        <w:rPr>
          <w:sz w:val="20"/>
          <w:szCs w:val="20"/>
          <w:color w:val="auto"/>
        </w:rPr>
      </w:pPr>
      <w:r>
        <w:rPr>
          <w:rFonts w:ascii="Arial" w:cs="Arial" w:eastAsia="Arial" w:hAnsi="Arial"/>
          <w:sz w:val="18"/>
          <w:szCs w:val="18"/>
          <w:color w:val="auto"/>
        </w:rPr>
        <w:t>The Company is actively monitoring the impact of the COVID-19 pandemic on its business, results of operations and financial condition. The full extent to which the COVID-19 pandemic will directly or indirectly impact the Company’s business, results of operations and financial condition in the future is unknown at this time and will depend on future developments that are highly unpredictable. The most significant estimates affecting the Company’s consolidated financial statements that may be impacted by the COVID-19 pandemic are related to the Company’s assessment of credit losses on accounts receivable, contract assets and available-for-sale debt securities.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17" w:lineRule="exact"/>
        <w:rPr>
          <w:sz w:val="20"/>
          <w:szCs w:val="20"/>
          <w:color w:val="auto"/>
        </w:rPr>
      </w:pPr>
    </w:p>
    <w:p>
      <w:pPr>
        <w:ind w:firstLine="382"/>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CODM, its Chief Executive Officer, views the Company’s operations and manages the business as one operating segment.</w:t>
      </w:r>
    </w:p>
    <w:p>
      <w:pPr>
        <w:spacing w:after="0" w:line="149" w:lineRule="exact"/>
        <w:rPr>
          <w:sz w:val="20"/>
          <w:szCs w:val="20"/>
          <w:color w:val="auto"/>
        </w:rPr>
      </w:pPr>
    </w:p>
    <w:p>
      <w:pPr>
        <w:ind w:right="120" w:firstLine="382"/>
        <w:spacing w:after="0" w:line="254" w:lineRule="auto"/>
        <w:rPr>
          <w:sz w:val="20"/>
          <w:szCs w:val="20"/>
          <w:color w:val="auto"/>
        </w:rPr>
      </w:pPr>
      <w:r>
        <w:rPr>
          <w:rFonts w:ascii="Arial" w:cs="Arial" w:eastAsia="Arial" w:hAnsi="Arial"/>
          <w:sz w:val="18"/>
          <w:szCs w:val="18"/>
          <w:color w:val="auto"/>
        </w:rPr>
        <w:t>The Company’s revenues consist of license and royalty revenue. For the year ended December 31, 2021, 79% and 7% of the Company’s revenues were attributed to Bermuda and the U.S., respectively, and no other countries were attributed 10% or more of the Company’s revenues. For the year ended December 31, 2020, 80% of the Company’s revenues were attributed to the U.S. and no other countries were attributed 10% or more of the Company’s revenues. For the year ended December 31, 2019, 90% of the Company’s revenues were attributed to the U.S. and no other countries were attributed 10% or more of the Company’s revenues. The country of origin for license revenue is determined based on the country of domicile of the licensee. The country of origin for royalty revenue is determined based on the location of the underlying net sales of licensed products. The substantial majority of the Company’s assets reside in the U.S.</w:t>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w:t>
      </w:r>
    </w:p>
    <w:p>
      <w:pPr>
        <w:spacing w:after="0" w:line="34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Restricted cash includes money market mutual funds and other deposits used to collateralize irrevocable letters of credit required under the Company’s lease agreements and other certain agreements. The following table provides a reconciliation of cash and cash equivalents and restricted cash as reported on the consolidated balance sheets to the total of these amounts as reported at the end of the period in the consolidated statements of cash flows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345,209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338,426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69,514</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 and restricted cash</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347,239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339,756</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40" w:firstLine="382"/>
        <w:spacing w:after="0" w:line="263" w:lineRule="auto"/>
        <w:rPr>
          <w:sz w:val="20"/>
          <w:szCs w:val="20"/>
          <w:color w:val="auto"/>
        </w:rPr>
      </w:pPr>
      <w:r>
        <w:rPr>
          <w:rFonts w:ascii="Arial" w:cs="Arial" w:eastAsia="Arial" w:hAnsi="Arial"/>
          <w:sz w:val="18"/>
          <w:szCs w:val="18"/>
          <w:color w:val="auto"/>
        </w:rPr>
        <w:t>Marketable securities consist of available-for-sale debt securities and equity securities and are carried at fair value. Marketable debt securities with remaining maturity dates exceeding 12 months which are not intended to be sold prior to maturity for use in current operations are classified as non-current assets. Marketable equity securities are classified as current assets.</w:t>
      </w:r>
    </w:p>
    <w:p>
      <w:pPr>
        <w:spacing w:after="0" w:line="184"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Unrealized gains and losses on available-for-sale debt securities, net of any related tax effects, are excluded from results of operations and are included in other comprehensive income (loss) and reported as a separate component of stockholders’ equity until realized. The Company uses the aggregate portfolio approach to release the tax effects of unrealized gains and losses on available-for-sale debt securities in accumulated other comprehensive loss. Purchase premiums and discounts on marketable debt securities are amortized or accreted into the cost basis over the life of the related security as adjustments to the yield using the effective-interest method. Interest income is recognized when earned. Unrealized gains and losses on marketable equity securities are included in results of operations as investment income. Realized gains and losses from the sale or maturity of marketable securities are based on the specific identification method and are included in results of operations as investment income.</w:t>
      </w:r>
    </w:p>
    <w:p>
      <w:pPr>
        <w:spacing w:after="0" w:line="177"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At each reporting date, the Company evaluates available-for-sale debt securities which have an amortized cost basis in excess of the fair value of the security to determine if the unrealized loss or any potential credit losses should be recognized in results of operations. If the Company does not have the intent and ability to hold the security until recovery of the unrealized loss, the difference between the fair value and amortized cost basis of the security is charged to results of operations resulting in a new amortized cost basis of the security. If the Company has the intent and ability to hold the security until recovery of the unrealized loss, the security is evaluated for potential credit losses. If a credit loss is deemed to exist, the credit loss is recognized in results of operations and an allowance for credit losses is recorded against the amortized cost basis of the security. In determining whether a credit loss exists related to impaired available-for-sale debt securities, the Company considers, among other factors, the extent of the unrealized loss relative to the amortized cost basis, the credit rating of the issuer and any recent changes thereto, current and expected future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economic conditions, and any adverse events or other changes in circumstances that have occurred which may indicate a potential credit loss. The Company did not record an allowance for credit losses on its available-for-sale debt securities as of December 31, 2021 or 2020.</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Accounts receivable primarily consist of consideration due to the Company resulting from its license agreements with customers. Accounts receivable include amounts invoiced to licensees as well as rights to consideration which have not yet been invoiced, including unbilled royalties, and for which payment is conditional solely upon the passage of time. If a licensee elects to terminate a license prior to the end of the license term, the licensed intellectual property is returned to the Company and any accounts receivable from the licensee which are not contractually payable to the Company are charged off as a reduction of license revenue in the period of the termination. Accounts receivable which are not expected to be received by the Company within 12 months from the reporting date are stated net of a discount to present value and recorded as non-current assets on the consolidated balance sheets. The present value discount is recognized as a reduction of revenue in the period in which the accounts receivable are initially recorded and is accreted as interest income from licensing over the term of the receivables.</w:t>
      </w:r>
    </w:p>
    <w:p>
      <w:pPr>
        <w:spacing w:after="0" w:line="178"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Accounts receivable are stated net of an allowance for credit losses, if deemed necessary based on the Company’s evaluation of collectability and potential credit losses. Management assesses the collectability of its accounts receivable using the specific identification of account balances, and considers the credit quality and financial condition of its significant customers, historical information regarding credit losses and the Company’s evaluation of current and expected future economic conditions. If necessary, an allowance for credit losses is recorded against accounts receivable such that the carrying value of accounts receivable reflects the net amount expected to be collected. Accounts receivable balances are written off against the allowance for credit losses when the potential for collectability is considered remote. Please refer to Note 10 for further information regarding the allowance for credit losses related to accounts receivable.</w:t>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117" w:lineRule="exact"/>
        <w:rPr>
          <w:sz w:val="20"/>
          <w:szCs w:val="20"/>
          <w:color w:val="auto"/>
        </w:rPr>
      </w:pPr>
    </w:p>
    <w:p>
      <w:pPr>
        <w:ind w:firstLine="382"/>
        <w:spacing w:after="0" w:line="289" w:lineRule="auto"/>
        <w:rPr>
          <w:sz w:val="20"/>
          <w:szCs w:val="20"/>
          <w:color w:val="auto"/>
        </w:rPr>
      </w:pPr>
      <w:r>
        <w:rPr>
          <w:rFonts w:ascii="Arial" w:cs="Arial" w:eastAsia="Arial" w:hAnsi="Arial"/>
          <w:sz w:val="16"/>
          <w:szCs w:val="16"/>
          <w:color w:val="auto"/>
        </w:rPr>
        <w:t>Cash and cash equivalents, marketable debt securities and accounts receivable are financial instruments that are potentially subject to concentrations of credit risk. The Company’s cash and cash equivalents are deposited in accounts at multiple financial institutions, and amounts may exceed federally insured limits. The Company believes it is not exposed to significant credit risk due to the financial strength of the depository institutions in which the cash and cash equivalents are held. The Company’s marketable debt securities consist of investment grade securities and may be subject to concentrations of credit risk. The Company has adopted an investment policy which limits potential concentrations of investments and establishes minimum acceptable credit ratings, thereby reducing credit risk exposure. With the exception of accounts receivable from Abeona Therapeutics Inc. (Abeona), as discussed further in Note 10, the Company believes that it is not exposed to significant credit risk related to accounts receivable due to the credit quality and history of collections from its significant customers, and the Company is unaware of any concentrations of credit risk related to accounts receivable from significant customers with deteriorated credit quality. The Company has no financial instruments with off-balance sheet risk of loss.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those customers who represented at least 10% of revenues or total net accounts receivable for the periods presented:</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4"/>
          </w:tcPr>
          <w:p>
            <w:pPr>
              <w:jc w:val="center"/>
              <w:ind w:right="888"/>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Accounts Receivable, Net</w:t>
            </w:r>
          </w:p>
        </w:tc>
      </w:tr>
      <w:tr>
        <w:trPr>
          <w:trHeight w:val="155"/>
        </w:trPr>
        <w:tc>
          <w:tcPr>
            <w:tcW w:w="408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440" w:type="dxa"/>
            <w:vAlign w:val="bottom"/>
            <w:tcBorders>
              <w:top w:val="single" w:sz="8" w:color="auto"/>
              <w:bottom w:val="single" w:sz="8" w:color="auto"/>
            </w:tcBorders>
            <w:gridSpan w:val="6"/>
          </w:tcPr>
          <w:p>
            <w:pPr>
              <w:jc w:val="center"/>
              <w:ind w:right="348"/>
              <w:spacing w:after="0" w:line="155" w:lineRule="exact"/>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tcBorders>
              <w:top w:val="single" w:sz="8" w:color="auto"/>
              <w:bottom w:val="single" w:sz="8" w:color="auto"/>
            </w:tcBorders>
            <w:gridSpan w:val="3"/>
          </w:tcPr>
          <w:p>
            <w:pPr>
              <w:jc w:val="right"/>
              <w:ind w:right="413"/>
              <w:spacing w:after="0" w:line="155" w:lineRule="exact"/>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3"/>
                <w:szCs w:val="13"/>
                <w:color w:val="auto"/>
              </w:rPr>
            </w:pPr>
          </w:p>
        </w:tc>
      </w:tr>
      <w:tr>
        <w:trPr>
          <w:trHeight w:val="155"/>
        </w:trPr>
        <w:tc>
          <w:tcPr>
            <w:tcW w:w="40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center"/>
              <w:ind w:left="168"/>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30"/>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E</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942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5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tab/>
        <w:t>Represented less than 10%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382"/>
        <w:spacing w:after="0" w:line="311" w:lineRule="auto"/>
        <w:rPr>
          <w:sz w:val="20"/>
          <w:szCs w:val="20"/>
          <w:color w:val="auto"/>
        </w:rPr>
      </w:pPr>
      <w:r>
        <w:rPr>
          <w:rFonts w:ascii="Arial" w:cs="Arial" w:eastAsia="Arial" w:hAnsi="Arial"/>
          <w:sz w:val="16"/>
          <w:szCs w:val="16"/>
          <w:color w:val="auto"/>
        </w:rPr>
        <w:t xml:space="preserve">Effective January 1, 2019, the Company adopted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supersedes the lease accounting requirements in Accounting Standards Codification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840). Please refer to Recent Accounting Pronouncements below for additional information on the adoption of Topic 842 and the associated impact to the Company’s consolidated financial statements.</w:t>
      </w:r>
    </w:p>
    <w:p>
      <w:pPr>
        <w:spacing w:after="0" w:line="149"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Under Topic 842, the Company classifies its leases as either finance or operating leases based on the principle of whether or not the lease is effectively a financed purchase by the Company. Lease classification is evaluated at the inception of the lease agreement. Regardless of classification, the Company records a right-of-use asset and a lease liability for all leases with a term greater than 12 months. All of the Company’s leases as of December 31, 2021 and 2020 have been classified as operating leases. Operating lease expense is recognized on a straight-line basis over the term of the lease, with the exception of variable lease expenses which are recognized as incurred.</w:t>
      </w:r>
    </w:p>
    <w:p>
      <w:pPr>
        <w:spacing w:after="0" w:line="176"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The Company identifies leases in its contracts if the contract conveys the right to control the use of identified property, plant or equipment for a period of time in exchange for consideration. The Company does not allocate lease consideration between lease and nonlease components and records a lease liability equal to the present value of the remaining fixed consideration under the lease. The interest rates implicit in the Company’s leases are generally not readily determinable. Accordingly, the Company uses its estimated incremental borrowing rate at the commencement date of the lease to determine the present value discount of the lease liability. The Company estimates its incremental borrowing rate for each lease based on an evaluation of its expected credit rating and the prevailing market rates for collateralized debt in a similar economic environment with similar payment terms and maturity dates commensurate with the term of the lease. The right-of-use asset for each lease is equal to the lease liability, adjusted for unamortized initial direct costs and lease incentives and prepaid or accrued rent. Initial direct costs of entering into a lease are included in the right-of-use asset and amortized as lease expense over the term of the lease. Lease incentives, such as tenant improvement allowances, are recorded as a reduction of the right-of-use asset and amortized as a reduction of lease expense over the term of the lease. The Company excludes options to extend or terminate leases from the calculation of the lease liability unless it is reasonably certain the option will be exercised.</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20" w:firstLine="382"/>
        <w:spacing w:after="0" w:line="279" w:lineRule="auto"/>
        <w:rPr>
          <w:sz w:val="20"/>
          <w:szCs w:val="20"/>
          <w:color w:val="auto"/>
        </w:rPr>
      </w:pPr>
      <w:r>
        <w:rPr>
          <w:rFonts w:ascii="Arial" w:cs="Arial" w:eastAsia="Arial" w:hAnsi="Arial"/>
          <w:sz w:val="17"/>
          <w:szCs w:val="17"/>
          <w:color w:val="auto"/>
        </w:rPr>
        <w:t>Property and equipment is stated at cost less accumulated depreciation and amortization.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Depreciation and amortization is calculated using the straight-line method over the estimated useful lives of the assets, which are as follows: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tcBorders>
              <w:bottom w:val="single" w:sz="8" w:color="CFF0FC"/>
            </w:tcBorders>
          </w:tcPr>
          <w:p>
            <w:pPr>
              <w:spacing w:after="0"/>
              <w:rPr>
                <w:sz w:val="14"/>
                <w:szCs w:val="14"/>
                <w:color w:val="auto"/>
              </w:rPr>
            </w:pPr>
          </w:p>
        </w:tc>
        <w:tc>
          <w:tcPr>
            <w:tcW w:w="4220" w:type="dxa"/>
            <w:vAlign w:val="bottom"/>
            <w:tcBorders>
              <w:bottom w:val="single" w:sz="8" w:color="auto"/>
            </w:tcBorders>
          </w:tcPr>
          <w:p>
            <w:pPr>
              <w:jc w:val="right"/>
              <w:ind w:right="1374"/>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4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2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manufacturing equipment</w:t>
            </w:r>
          </w:p>
        </w:tc>
        <w:tc>
          <w:tcPr>
            <w:tcW w:w="4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to 15 years</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20" w:type="dxa"/>
            <w:vAlign w:val="bottom"/>
          </w:tcPr>
          <w:p>
            <w:pPr>
              <w:jc w:val="right"/>
              <w:spacing w:after="0"/>
              <w:rPr>
                <w:sz w:val="20"/>
                <w:szCs w:val="20"/>
                <w:color w:val="auto"/>
              </w:rPr>
            </w:pPr>
            <w:r>
              <w:rPr>
                <w:rFonts w:ascii="Arial" w:cs="Arial" w:eastAsia="Arial" w:hAnsi="Arial"/>
                <w:sz w:val="18"/>
                <w:szCs w:val="18"/>
                <w:color w:val="auto"/>
              </w:rPr>
              <w:t>Shorter of lease term or estimated useful life</w:t>
            </w:r>
          </w:p>
        </w:tc>
      </w:tr>
    </w:tbl>
    <w:p>
      <w:pPr>
        <w:spacing w:after="0" w:line="33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firstLine="382"/>
        <w:spacing w:after="0" w:line="275" w:lineRule="auto"/>
        <w:rPr>
          <w:sz w:val="20"/>
          <w:szCs w:val="20"/>
          <w:color w:val="auto"/>
        </w:rPr>
      </w:pPr>
      <w:r>
        <w:rPr>
          <w:rFonts w:ascii="Arial" w:cs="Arial" w:eastAsia="Arial" w:hAnsi="Arial"/>
          <w:sz w:val="17"/>
          <w:szCs w:val="17"/>
          <w:color w:val="auto"/>
        </w:rPr>
        <w:t>The Company evaluates its long-lived assets for impairment when events or changes in circumstances indicate the carrying value of the assets may not be recoverable. Recoverability is measured by comparison of the book values of the assets to estimated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 No impairment losses on long-lived assets were recorded during the years ended December 31, 2021, 2020 and 2019.</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17" w:lineRule="exact"/>
        <w:rPr>
          <w:sz w:val="20"/>
          <w:szCs w:val="20"/>
          <w:color w:val="auto"/>
        </w:rPr>
      </w:pPr>
    </w:p>
    <w:p>
      <w:pPr>
        <w:ind w:right="160" w:firstLine="382"/>
        <w:spacing w:after="0" w:line="257" w:lineRule="auto"/>
        <w:rPr>
          <w:sz w:val="20"/>
          <w:szCs w:val="20"/>
          <w:color w:val="auto"/>
        </w:rPr>
      </w:pPr>
      <w:r>
        <w:rPr>
          <w:rFonts w:ascii="Arial" w:cs="Arial" w:eastAsia="Arial" w:hAnsi="Arial"/>
          <w:sz w:val="18"/>
          <w:szCs w:val="18"/>
          <w:color w:val="auto"/>
        </w:rPr>
        <w:t>The Company’s non-marketable equity securities consist of equity investments in other entities in which the Company’s ownership interest is below 20% and the Company does not have significant influence over the operations of the entity, or for which the equity securities are not common stock or in-substance common stock. The Company’s non-marketable equity securities do not have readily determinable fair values and are measured at cost less impairment, adjusted for observable price changes for identical or similar investments of the same issuer. Please refer to Note 4 for further information on non-marketable equity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00" w:firstLine="382"/>
        <w:spacing w:after="0" w:line="271" w:lineRule="auto"/>
        <w:rPr>
          <w:sz w:val="20"/>
          <w:szCs w:val="20"/>
          <w:color w:val="auto"/>
        </w:rPr>
      </w:pPr>
      <w:r>
        <w:rPr>
          <w:rFonts w:ascii="Arial" w:cs="Arial" w:eastAsia="Arial" w:hAnsi="Arial"/>
          <w:sz w:val="17"/>
          <w:szCs w:val="17"/>
          <w:color w:val="auto"/>
        </w:rPr>
        <w:t xml:space="preserve">The Company is required to disclose information on all assets and liabilities reported at fair value that enables an assessment of the inputs used in determining the reported fair values.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70" w:lineRule="exact"/>
        <w:rPr>
          <w:sz w:val="20"/>
          <w:szCs w:val="20"/>
          <w:color w:val="auto"/>
        </w:rPr>
      </w:pPr>
    </w:p>
    <w:p>
      <w:pPr>
        <w:ind w:left="760" w:right="340" w:hanging="374"/>
        <w:spacing w:after="0" w:line="277"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1—Valuations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2—Valuations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760" w:right="160" w:hanging="374"/>
        <w:spacing w:after="0" w:line="277"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3—Valuations that require inputs that reflect the Company’s own assumptions that are both significant to the fair value measurement and unobservable.</w:t>
      </w:r>
    </w:p>
    <w:p>
      <w:pPr>
        <w:spacing w:after="0" w:line="170"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values of the Company’s Level 2 instruments are based on quoted market prices or broker or dealer quotations for similar assets. These investments are initially valued at the transaction price and subsequently valued utilizing third party pricing providers or other market observable data. Please refer to Note 4 for further information on the fair value measurement of the Company’s financial instruments.</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Liability Related to Sale of Future Royalties</w:t>
      </w:r>
    </w:p>
    <w:p>
      <w:pPr>
        <w:spacing w:after="0" w:line="117" w:lineRule="exact"/>
        <w:rPr>
          <w:sz w:val="20"/>
          <w:szCs w:val="20"/>
          <w:color w:val="auto"/>
        </w:rPr>
      </w:pPr>
    </w:p>
    <w:p>
      <w:pPr>
        <w:ind w:right="40" w:firstLine="382"/>
        <w:spacing w:after="0" w:line="254" w:lineRule="auto"/>
        <w:rPr>
          <w:sz w:val="20"/>
          <w:szCs w:val="20"/>
          <w:color w:val="auto"/>
        </w:rPr>
      </w:pPr>
      <w:r>
        <w:rPr>
          <w:rFonts w:ascii="Arial" w:cs="Arial" w:eastAsia="Arial" w:hAnsi="Arial"/>
          <w:sz w:val="18"/>
          <w:szCs w:val="18"/>
          <w:color w:val="auto"/>
        </w:rPr>
        <w:t>As discussed in Note 7, the Company recorded a liability for the net proceeds received from the sale of its Zolgensma royalty payments to entities managed by Healthcare Royalty Management, LLC (collectively, HCR). The liability is accounted for as debt since the return to HCR is explicitly capped under the royalty purchase agreement, and is amortized over the estimated life of the arrangement using the effective interest method. The total amount of royalty payments received by HCR under the agreement, less the net proceeds received by the Company, is recorded as interest expense over the life of the arrangement. The Company estimates the effective interest rate based on its estimate of total royalty payments to be received by HCR under the agreement. The Company reassesses these estimates at each reporting date and adjusts the effective interest rate and amortization of the liability on a prospective basis as necessary.</w:t>
      </w:r>
    </w:p>
    <w:p>
      <w:pPr>
        <w:spacing w:after="0" w:line="195"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Due to its continuing involvement in the underlying license agreement with Novartis Gene Therapies, Inc. (formerly AveXis, Inc.), the Company continues to recognize royalty revenue on net sales of Zolgensma and records the royalty payments to HCR as a reduction of the liability when paid. As such payments are made to HCR, the balance of the liability will be effectively repaid over the life of the royalty purchase agreement. The portion of the liability related to the sale of future royalties which is expected to be amortized within 12 months of the reporting date is recorded as a current liability, with the remaining portion of the liability recorded as a non-current liability.</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382"/>
        <w:spacing w:after="0" w:line="255" w:lineRule="auto"/>
        <w:rPr>
          <w:sz w:val="20"/>
          <w:szCs w:val="20"/>
          <w:color w:val="auto"/>
        </w:rPr>
      </w:pPr>
      <w:r>
        <w:rPr>
          <w:rFonts w:ascii="Arial" w:cs="Arial" w:eastAsia="Arial" w:hAnsi="Arial"/>
          <w:sz w:val="18"/>
          <w:szCs w:val="18"/>
          <w:color w:val="auto"/>
        </w:rPr>
        <w:t xml:space="preserve">The Company recognizes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Topic 606 requires entities to recognize revenue when control of the promised goods or services is transferred to customers at an amount that reflects the consideration to which the entity expects to be entitled to in exchange for those goods or services. The following five steps are performed to determine the appropriate revenue recognition for arrangements within the scope of Topic 606: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obligations.</w:t>
      </w:r>
    </w:p>
    <w:p>
      <w:pPr>
        <w:spacing w:after="0" w:line="192" w:lineRule="exact"/>
        <w:rPr>
          <w:sz w:val="20"/>
          <w:szCs w:val="20"/>
          <w:color w:val="auto"/>
        </w:rPr>
      </w:pPr>
    </w:p>
    <w:p>
      <w:pPr>
        <w:ind w:right="240" w:firstLine="382"/>
        <w:spacing w:after="0" w:line="277" w:lineRule="auto"/>
        <w:rPr>
          <w:sz w:val="20"/>
          <w:szCs w:val="20"/>
          <w:color w:val="auto"/>
        </w:rPr>
      </w:pPr>
      <w:r>
        <w:rPr>
          <w:rFonts w:ascii="Arial" w:cs="Arial" w:eastAsia="Arial" w:hAnsi="Arial"/>
          <w:sz w:val="18"/>
          <w:szCs w:val="18"/>
          <w:color w:val="auto"/>
        </w:rPr>
        <w:t>The Company applies the five-step model to contracts that are within the scope of Topic 606 only when it is probable that the Company will collect the consideration it is entitled to in exchange for the goods or services it transfers to the customer. At contract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inception, for contracts within the scope of Topic 606, the Company assesses the goods or services promised within each contract and determines those that are performance obligations and whether each promised good or service is distinct. The Company then recognizes as revenue the amount of the transaction price that is allocated to respective performance obligations when (or as) the respective performance obligations are satisfied.</w:t>
      </w:r>
    </w:p>
    <w:p>
      <w:pPr>
        <w:spacing w:after="0" w:line="165" w:lineRule="exact"/>
        <w:rPr>
          <w:sz w:val="20"/>
          <w:szCs w:val="20"/>
          <w:color w:val="auto"/>
        </w:rPr>
      </w:pPr>
    </w:p>
    <w:p>
      <w:pPr>
        <w:ind w:right="220" w:firstLine="382"/>
        <w:spacing w:after="0" w:line="296" w:lineRule="auto"/>
        <w:rPr>
          <w:sz w:val="20"/>
          <w:szCs w:val="20"/>
          <w:color w:val="auto"/>
        </w:rPr>
      </w:pPr>
      <w:r>
        <w:rPr>
          <w:rFonts w:ascii="Arial" w:cs="Arial" w:eastAsia="Arial" w:hAnsi="Arial"/>
          <w:sz w:val="16"/>
          <w:szCs w:val="16"/>
          <w:color w:val="auto"/>
        </w:rPr>
        <w:t>The Company evaluates its contracts with customers for the presence of significant financing components. If a significant financing component is identified in a contract and provides a financing benefit to the customer, the transaction price for the contract is adjusted to account for the financing portion of the arrangement, which is recognized as interest income over the financing term using the effective interest method. In determining the appropriate interest rates for significant financing components, the Company evaluates the credit profile of the customer and prevailing market interest rates and selects an interest rate in which it believes would be charged to the customer in a separate financing arrangement over a similar financing term.</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License and Royalty Revenue</w:t>
      </w:r>
    </w:p>
    <w:p>
      <w:pPr>
        <w:spacing w:after="0" w:line="117"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The Company licenses its NAV Technology Platform and other intellectual property rights to other biotechnology and pharmaceutical companies, including collaborators for the joint development and commercialization of its product candidates. The terms of the licenses vary, and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the Company’s NAV Technology Platform and other licensed rights. License agreements generally have a term at least equal to the life of the underlying patents, but are terminable at the option of the licensee. Consideration payable to the Company under its license agreements may include: (i) up-front and annual fees, (ii) milestone payments based on the achievement of certain development and sales-based milestones, (iii) sublicense fees, (iv) royalties on sales of licensed products and (v) other consideration payable upon optional goods and services purchased by licensees.</w:t>
      </w:r>
    </w:p>
    <w:p>
      <w:pPr>
        <w:spacing w:after="0" w:line="165"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The Company’s license agreements are accounted for as contracts with customers within the scope of Topic 606, with the exception of transactions for which the counterparty is determined not to be a customer. At the inception of each license agreement, the Company determines the contract term for purposes of applying the requirements of Topic 606. Licenses are generally terminable at the option of the licensee with advance notice to the Company. For each license granted, including licenses granted upon the exercise of license options, the Company evaluates these termination rights to determine whether a substantive termination penalty would be incurred by the licensee upon termination. If the licensee incurs a substantive termination penalty upon termination, the contract term for revenue recognition purposes is generally equal to the stated term of the license, which is the life of the underlying licensed patents. Alternatively, if the licensee does not incur a substantive termination penalty upon termination, the contract term for revenue recognition purposes may be shorter than the stated term of the license, in which case the termination rights may be accounted for as contract renewal options. The determination of whether a substantive termination penalty is associated with the termination rights requires significant judgment. In making this determination, the Company considers, among other things, the nature of the intellectual property rights that would be returned to the Company upon termination, including the exclusivity of the licensed rights and the stage of development of the licensed products, the payment terms, including the amount and timing of non-refundable or guaranteed payments, and the business purpose of the termination rights granted to the licensee. Generally, the most significant judgment in determining whether a substantive termination penalty exists relates to the amount of any up-front or guaranteed non-refundable payments relative to the amount of annual payments that may be avoided by the licensee upon termination of the license. The Company considers all of the facts and circumstances relevant to each license when making this determination.</w:t>
      </w:r>
    </w:p>
    <w:p>
      <w:pPr>
        <w:spacing w:after="0" w:line="167"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Performance obligations under the Company’s license agreements may include (i) the delivery of intellectual property licenses, (ii) options granted to licensees to acquire additional licenses, to the extent the options represent material rights to the licensee, and (iii) research and development services to be performed by the Company related to licensed products. License agreements may provide licensees with contract renewal options or options to acquire additional licenses, goods or other services. Options are evaluated at the inception of the license agreement to determine whether they provide material rights to the licensee. In making this determination, the Company considers whether the options are priced at an incremental discount to the standalone selling price for the underlying licenses, goods or services, in which case the option is considered to be a material right to the licensee and is accounted for as a separate performance obligation under the current license agreement. At the inception of each license agreement which contains performance obligations for research and development services, the Company evaluates whether the license is distinct from the research and development services, which requires judgment. In making this determination, the Company considers, among other things, the stage of development of the licensed products and whether the research and development services will significantly impact further development of the licensed products. If it is determined that the license is not distinct from the research and development services, the license is combined with the research and development services into a single performance obligation.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382"/>
        <w:spacing w:after="0" w:line="273" w:lineRule="auto"/>
        <w:rPr>
          <w:sz w:val="20"/>
          <w:szCs w:val="20"/>
          <w:color w:val="auto"/>
        </w:rPr>
      </w:pPr>
      <w:r>
        <w:rPr>
          <w:rFonts w:ascii="Arial" w:cs="Arial" w:eastAsia="Arial" w:hAnsi="Arial"/>
          <w:sz w:val="17"/>
          <w:szCs w:val="17"/>
          <w:color w:val="auto"/>
        </w:rPr>
        <w:t>The Company evaluates the transaction price of its license agreements at the inception of each agreement and at each reporting date. The transaction price includes the fixed consideration payable to the Company during the contract term, as well as any variable consideration to the extent that it is probable that a significant reversal of revenue will not occur in the future. Fixed consideration under the license agreements includes up-front and annual fees payable during the contract term. Variable consideration under the license agreements includes development and sales-based milestone payments, sublicense fees and royalties on sales of licensed products. Consideration contingent upon the exercise of options by a licensee is excluded from the transaction price and not accounted for as part of the license agreement until the option is exercised.</w:t>
      </w:r>
    </w:p>
    <w:p>
      <w:pPr>
        <w:spacing w:after="0" w:line="178"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The transaction price for each license agreement is allocated to the underlying performance obligations based on their relative standalone selling prices and recognized as revenue when (or as) the performance obligations are satisfied. Consideration allocated to performance obligations for the delivery of an intellectual property license is recognized as revenue in full upon the delivery of the license to the licensee. Consideration allocated to performance obligations for license options is recognized as revenue in full upon the earlier of the option exercise or expiration. The exercise of a license option by a licensee is accounted for as a new license for revenue recognition purposes. Consideration allocated to performance obligations for research and development services is recognized as revenue as the services are performed by the Company.</w:t>
      </w:r>
    </w:p>
    <w:p>
      <w:pPr>
        <w:spacing w:after="0" w:line="178"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Up-front and annual licenses fees payable to the Company over the contract term of each license are included in the transaction price, and the portion of this consideration allocated to the performance obligation for the delivery of the intellectual property license is recognized as revenue in full upon the delivery of the license to the licensee. If annual license fees are payable to the Company in periods beyond 12 months from the delivery of the license, a significant financing component is deemed to exist which provides a financing benefit to the licensee. If a significant financing component is identified, the Company adjusts the transaction price for the license to include only the present value of the annual license fees payable to the Company over the contract term. The discounted portion of the license fees is recognized as interest income from licensing over the financing period of the license.</w:t>
      </w:r>
    </w:p>
    <w:p>
      <w:pPr>
        <w:spacing w:after="0" w:line="164"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Development milestone payments are payable to the Company upon the achievement of specified development milestones. At the inception of each license agreement that contains development milestone payments, the Company evaluates whether the milestones are considered probable of achievement and estimates the amount to be included in the transaction price using the most likely amount method. If it is probable that a significant revenue reversal will not occur in the future, milestone payments are included in the transaction price and recognized as revenue upon the delivery of the license. Milestone payments contingent on the achievement of development milestones that are not within the control of the Company or the licensee, such as regulatory approvals, are not considered probable of being achieved and are excluded from the transaction price until the milestone is achieved. At each reporting date, the Company re-evaluates the probability of achievement of each outstanding development milestone and, if necessary, adjusts the transaction price for any milestones for which the probability of achievement has changed due to current facts and circumstances. Any such adjustments are recorded on a cumulative catch-up basis and recognized as revenue in the period of the adjustment.</w:t>
      </w:r>
    </w:p>
    <w:p>
      <w:pPr>
        <w:spacing w:after="0" w:line="181" w:lineRule="exact"/>
        <w:rPr>
          <w:sz w:val="20"/>
          <w:szCs w:val="20"/>
          <w:color w:val="auto"/>
        </w:rPr>
      </w:pPr>
    </w:p>
    <w:p>
      <w:pPr>
        <w:ind w:right="60" w:firstLine="382"/>
        <w:spacing w:after="0" w:line="311" w:lineRule="auto"/>
        <w:rPr>
          <w:sz w:val="20"/>
          <w:szCs w:val="20"/>
          <w:color w:val="auto"/>
        </w:rPr>
      </w:pPr>
      <w:r>
        <w:rPr>
          <w:rFonts w:ascii="Arial" w:cs="Arial" w:eastAsia="Arial" w:hAnsi="Arial"/>
          <w:sz w:val="16"/>
          <w:szCs w:val="16"/>
          <w:color w:val="auto"/>
        </w:rPr>
        <w:t>Royalties on sales of licensed products, sales-based milestone payments, including milestones payable upon first commercial sales of licensed products, and sublicense fees based on the receipt of certain fees by licensees from any sublicensees are excluded from the transaction price of each license and recognized as revenue in the period that the related sales or sublicenses occur, provided that the associated license has been delivered to the licensee.</w:t>
      </w:r>
    </w:p>
    <w:p>
      <w:pPr>
        <w:spacing w:after="0" w:line="149" w:lineRule="exact"/>
        <w:rPr>
          <w:sz w:val="20"/>
          <w:szCs w:val="20"/>
          <w:color w:val="auto"/>
        </w:rPr>
      </w:pPr>
    </w:p>
    <w:p>
      <w:pPr>
        <w:ind w:right="60" w:firstLine="382"/>
        <w:spacing w:after="0" w:line="291" w:lineRule="auto"/>
        <w:rPr>
          <w:sz w:val="20"/>
          <w:szCs w:val="20"/>
          <w:color w:val="auto"/>
        </w:rPr>
      </w:pPr>
      <w:r>
        <w:rPr>
          <w:rFonts w:ascii="Arial" w:cs="Arial" w:eastAsia="Arial" w:hAnsi="Arial"/>
          <w:sz w:val="16"/>
          <w:szCs w:val="16"/>
          <w:color w:val="auto"/>
        </w:rPr>
        <w:t>Royalty revenue to date consists primarily of royalties on net sales of Zolgensma, which is a licensed product under the Company’s license agreement with Novartis Gene Therapies, Inc. (formerly AveXis, Inc.) (Novartis Gene Therapies), a wholly owned subsidiary of Novartis AG (Novartis), for the development and commercialization of treatments for spinal muscular atrophy (SMA). The Company recognizes royalty revenue from net sales of Zolgensma in the period in which the underlying products are sold by Novartis Gene Therapies, which in certain cases may require the Company to estimate royalty revenue for periods of net sales which have not yet been reported to the Company. Estimated royalties are reconciled to actual amounts reported in subsequent periods, and any differences are recognized as an adjustment to royalty revenue in the period the royalties are reported. Sales-based milestone payments related to net sales of Zolgensma are recognized as royalty revenue in the period in which the milestone is achieved.</w:t>
      </w:r>
    </w:p>
    <w:p>
      <w:pPr>
        <w:spacing w:after="0" w:line="166"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The Company receives payments from licensees based on the billing schedules established in each license agreement. Amounts recognized as revenue which have not yet been received from licensees, including unbilled royalties, are recorded as accounts receivable when the Company’s rights to the consideration are conditional solely upon the passage of time. Amounts recognized as revenue which have not yet been received from licensees are recorded as contract assets when the Company’s rights to the consideration are not unconditional. Contract assets are recorded as other current assets on the consolidated balance sheets if the consideration is expected to be realized within 12 months from the reporting date, or as other assets if the consideration is expected to be realized in periods beyond 12 months from the reporting date. If a licensee elects to terminate a license prior to the end of the license term, the licensed intellectual property is returned to the Company and any consideration recorded as accounts receivable or contract assets which is not contractually payable by the licensee is charged off as a reduction of license revenue in the period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termination. Amounts received by the Company prior to the delivery of underlying performance obligations are deferred and recognized as revenue upon the satisfaction of the performance obligations by the Company. Deferred revenue which is not expected to be recognized within 12 months from the reporting date is recorded as non-current on the consolidated balance sheets.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right="40" w:firstLine="382"/>
        <w:spacing w:after="0" w:line="270" w:lineRule="auto"/>
        <w:rPr>
          <w:sz w:val="20"/>
          <w:szCs w:val="20"/>
          <w:color w:val="auto"/>
        </w:rPr>
      </w:pPr>
      <w:r>
        <w:rPr>
          <w:rFonts w:ascii="Arial" w:cs="Arial" w:eastAsia="Arial" w:hAnsi="Arial"/>
          <w:sz w:val="17"/>
          <w:szCs w:val="17"/>
          <w:color w:val="auto"/>
        </w:rPr>
        <w:t xml:space="preserve">The Company evaluates its agreements with collaboration partners to determine whether they are within the scope of ASC 808, </w:t>
      </w:r>
      <w:r>
        <w:rPr>
          <w:rFonts w:ascii="Arial" w:cs="Arial" w:eastAsia="Arial" w:hAnsi="Arial"/>
          <w:sz w:val="17"/>
          <w:szCs w:val="17"/>
          <w:i w:val="1"/>
          <w:iCs w:val="1"/>
          <w:color w:val="auto"/>
        </w:rPr>
        <w:t>Collaborative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t>
      </w:r>
      <w:r>
        <w:rPr>
          <w:rFonts w:ascii="Arial" w:cs="Arial" w:eastAsia="Arial" w:hAnsi="Arial"/>
          <w:sz w:val="17"/>
          <w:szCs w:val="17"/>
          <w:color w:val="auto"/>
        </w:rPr>
        <w:t>(Topic 808). Such arrangements are within the scope of Topic 808 if they involve joint operating activities performed by parties that are both</w:t>
      </w:r>
      <w:r>
        <w:rPr>
          <w:rFonts w:ascii="Arial" w:cs="Arial" w:eastAsia="Arial" w:hAnsi="Arial"/>
          <w:sz w:val="17"/>
          <w:szCs w:val="17"/>
          <w:i w:val="1"/>
          <w:iCs w:val="1"/>
          <w:color w:val="auto"/>
        </w:rPr>
        <w:t xml:space="preserve"> </w:t>
      </w:r>
      <w:r>
        <w:rPr>
          <w:rFonts w:ascii="Arial" w:cs="Arial" w:eastAsia="Arial" w:hAnsi="Arial"/>
          <w:sz w:val="17"/>
          <w:szCs w:val="17"/>
          <w:color w:val="auto"/>
        </w:rPr>
        <w:t>active participants in the activities and exposed to significant risks and rewards dependent on the commercial success of such activities. This evaluation is performed throughout the life of the arrangement based on any changes in the roles and responsibilities of the parties under the arrangement. For collaboration arrangements within the scope of Topic 808 that contain multiple elements, the Company identifies the various transactions with the counterparty and determines if any unit of account is more reflective of a transaction with a customer and therefore should be accounted for within the scope of Topic 606. For transactions that are accounted for pursuant to Topic 808, an appropriate method of recognition and presentation is determined and consistently applied. For transactions that are accounted for pursuant to Topic 606, the Company applies the five-step model as described in its revenue recognition policies.</w:t>
      </w:r>
    </w:p>
    <w:p>
      <w:pPr>
        <w:spacing w:after="0" w:line="181"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For transactions accounted for as collaborative arrangements under Topic 808, payments to and from collaboration partners associated with multiple activities in a collaboration arrangement are classified based on the nature of each separate activity. Payments associated with development activities performed are recorded as research and development expense when owed to collaboration partners, or as a reduction of research and development expense when due from collaboration partners. Payments associated with commercialization activities performed are recorded as general and administrative expense when owed to collaboration partners, or as a reduction of general and administrative expense when due from collaboration partners. At the end of each reporting period, the Company records a net amount due to or from collaboration partners for activities performed by the parties under the collaboration.</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right="40" w:firstLine="382"/>
        <w:spacing w:after="0" w:line="293" w:lineRule="auto"/>
        <w:rPr>
          <w:sz w:val="20"/>
          <w:szCs w:val="20"/>
          <w:color w:val="auto"/>
        </w:rPr>
      </w:pPr>
      <w:r>
        <w:rPr>
          <w:rFonts w:ascii="Arial" w:cs="Arial" w:eastAsia="Arial" w:hAnsi="Arial"/>
          <w:sz w:val="16"/>
          <w:szCs w:val="16"/>
          <w:color w:val="auto"/>
        </w:rPr>
        <w:t>Cost of revenues consists primarily of sublicense fees, milestone payments and royalties on net sales of licensed products as specified in the Company’s agreements with its licensors. Sublicense fees are based on a percentage of license fees received by the Company from licensees and are recognized in the period that the underlying revenue is recognized. Milestone payments are payable to licensors upon the achievement of specified milestones by licensees and are recognized in the period the milestone is achieved or deemed probable of achievement. Royalties are based on a percentage of net sales of licensed products by licensees and are recognized in the period that the underlying sales occur. Amounts which are payable to licensors in periods beyond 12 months from the reporting date are recorded as non-current liabilities on the consolidated balance sheets.</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Research and development costs are expensed as incurred in performing research and development activities. Advance payments for goods or services related to research and development activities are deferred and expensed as the goods are delivered or the services are performed. Research and development costs include salaries, wages, benefits and other personnel costs, laboratory and facilities costs, allocated overhead costs, license and milestone fees, and costs of goods and services associated with preclinical research and clinical trial activities, associated manufacturing-related activities, regulatory activities and other related services performed by third-parties. At the end of each reporting period, the Company compares payments made to third-party service providers to the estimated expenses incurred based on the services provided and progress toward completion of the research or development objectives. Such estimates are subject to change as additional information becomes available. Depending on the timing of payments to the service providers and the estimated expenses incurred, the Company may record net prepaid or accrued research and development expenses relating to these costs. Up-front fees incurred in obtaining technology licenses, as well as milestone payments to licensors, are charged to research and development expense as incurred if the technology licensed has no alternative future use.</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60" w:firstLine="382"/>
        <w:spacing w:after="0" w:line="259" w:lineRule="auto"/>
        <w:rPr>
          <w:sz w:val="20"/>
          <w:szCs w:val="20"/>
          <w:color w:val="auto"/>
        </w:rPr>
      </w:pPr>
      <w:r>
        <w:rPr>
          <w:rFonts w:ascii="Arial" w:cs="Arial" w:eastAsia="Arial" w:hAnsi="Arial"/>
          <w:sz w:val="18"/>
          <w:szCs w:val="18"/>
          <w:color w:val="auto"/>
        </w:rPr>
        <w:t xml:space="preserve">The Company accounts for its stock-based compensation awards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ASC 718 requires all stock-based awards to employees and nonemployees to be recognized as expense based on the grant date fair value of the awards. The Company’s stock-based awards include stock options granted to employees and nonemployees, restricted stock units granted to employees and shares issued to employees under its employee stock purchase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The Company’s stock-based awards may be subject to either service or performance-based vesting conditions. Compensation expense related to awards with service-based vesting conditions is recognized on a straight-line basis based on the estimated grant date fair value over the requisite service period of the award, which is generally the vesting term. Compensation expense related to awards with performance-based vesting conditions is recognized based on the estimated grant date fair value over the requisite service period using the accelerated attribution method to the extent achievement of the performance condition is probable.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has elected to not estimate forfeitures of stock-based awards and accounts for forfeitures as they occur.</w:t>
      </w:r>
    </w:p>
    <w:p>
      <w:pPr>
        <w:spacing w:after="0" w:line="225" w:lineRule="exact"/>
        <w:rPr>
          <w:sz w:val="20"/>
          <w:szCs w:val="20"/>
          <w:color w:val="auto"/>
        </w:rPr>
      </w:pPr>
    </w:p>
    <w:p>
      <w:pPr>
        <w:ind w:right="20" w:firstLine="382"/>
        <w:spacing w:after="0" w:line="286" w:lineRule="auto"/>
        <w:rPr>
          <w:sz w:val="20"/>
          <w:szCs w:val="20"/>
          <w:color w:val="auto"/>
        </w:rPr>
      </w:pPr>
      <w:r>
        <w:rPr>
          <w:rFonts w:ascii="Arial" w:cs="Arial" w:eastAsia="Arial" w:hAnsi="Arial"/>
          <w:sz w:val="16"/>
          <w:szCs w:val="16"/>
          <w:color w:val="auto"/>
        </w:rPr>
        <w:t>The Company estimates the fair value of its stock option awards using the Black-Scholes option-pricing model, which requires the input of subjective assumptions, including (i) the fair value of the underlying common stock, (ii) the expected stock price volatility, (iii) the expected term of the award, (iv) the risk-free interest rate and (v) expected dividends. For reporting periods through December 31, 2020, the Company did not have sufficient historical or implied volatility data for its common stock necessary to estimate expected volatility over a period of time commensurate with the expected term of its stock option awards. For such reporting periods, the Company estimated expected volatility based on a weighted-average of the historical volatility of its common stock and the common stock of a selected peer group of similar publicly traded companies for which sufficient historical volatility data was available. As more historical trading data became available over time, the Company gradually increased the weight placed on the historical volatility of its common stock versus the historical peer group volatility data. Effective January 1, 2021, the Company eliminated the use of historical peer group volatility data and now estimates expected volatility based solely on the historical volatility of its common stock given that sufficient historical volatility data has become available. The Company estimates the expected term of its employee stock options using the “simplified” method, whereby the expected term equals the arithmetic average of the vesting term and the original contractual term of the option, due to its lack of sufficient historical data. For stock options granted to nonemployees, the Company uses the contractual term of the award rather than expected term to estimate the fair value of the award. The Company estimates the risk-free interest rates for periods within the expected term of its options based on the rates of U.S. Treasury securities with maturity dates commensurate with the expected term of the associated awards. The Company assumes a dividend yield of zero for its common stock as it has never paid dividends and does not expect to pay dividends for the foreseeable future.</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estimates the fair value of restricted stock units based on the fair value of the Company’s common stock on the date of the grant.</w:t>
      </w:r>
    </w:p>
    <w:p>
      <w:pPr>
        <w:spacing w:after="0" w:line="34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20" w:firstLine="382"/>
        <w:spacing w:after="0" w:line="296" w:lineRule="auto"/>
        <w:rPr>
          <w:sz w:val="20"/>
          <w:szCs w:val="20"/>
          <w:color w:val="auto"/>
        </w:rPr>
      </w:pPr>
      <w:r>
        <w:rPr>
          <w:rFonts w:ascii="Arial" w:cs="Arial" w:eastAsia="Arial" w:hAnsi="Arial"/>
          <w:sz w:val="16"/>
          <w:szCs w:val="16"/>
          <w:color w:val="auto"/>
        </w:rPr>
        <w:t xml:space="preserve">Income taxes are accounted for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1" w:lineRule="exact"/>
        <w:rPr>
          <w:sz w:val="20"/>
          <w:szCs w:val="20"/>
          <w:color w:val="auto"/>
        </w:rPr>
      </w:pPr>
    </w:p>
    <w:p>
      <w:pPr>
        <w:ind w:firstLine="382"/>
        <w:spacing w:after="0" w:line="311" w:lineRule="auto"/>
        <w:rPr>
          <w:sz w:val="20"/>
          <w:szCs w:val="20"/>
          <w:color w:val="auto"/>
        </w:rPr>
      </w:pPr>
      <w:r>
        <w:rPr>
          <w:rFonts w:ascii="Arial" w:cs="Arial" w:eastAsia="Arial" w:hAnsi="Arial"/>
          <w:sz w:val="16"/>
          <w:szCs w:val="16"/>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49" w:lineRule="exact"/>
        <w:rPr>
          <w:sz w:val="20"/>
          <w:szCs w:val="20"/>
          <w:color w:val="auto"/>
        </w:rPr>
      </w:pPr>
    </w:p>
    <w:p>
      <w:pPr>
        <w:jc w:val="both"/>
        <w:ind w:right="400" w:firstLine="382"/>
        <w:spacing w:after="0" w:line="263"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2021 and 2020, the Company had no accrued interest or penalties related to uncertain tax positions and no amounts have been recognized in the Company’s consolidated statements of operations and comprehensive income (loss).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firstLine="382"/>
        <w:spacing w:after="0" w:line="293" w:lineRule="auto"/>
        <w:rPr>
          <w:sz w:val="20"/>
          <w:szCs w:val="20"/>
          <w:color w:val="auto"/>
        </w:rPr>
      </w:pPr>
      <w:r>
        <w:rPr>
          <w:rFonts w:ascii="Arial" w:cs="Arial" w:eastAsia="Arial" w:hAnsi="Arial"/>
          <w:sz w:val="16"/>
          <w:szCs w:val="16"/>
          <w:color w:val="auto"/>
        </w:rPr>
        <w:t>Basic net income (loss) per share is calculated by dividing net income (loss) applicable to common stockholders by the weighted-average common shares outstanding during the period, without consideration for common stock equivalents. Diluted net income (loss) per share is calculated by adjusting the weighted-average common shares outstanding for the dilutive effect of common stock equivalents outstanding for the period, determined using the treasury-stock method. Contingently convertible shares in which conversion is based on non-market-priced contingencies are excluded from the calculations of both basic and diluted net income (loss) per share until the contingency has been fully met. For purposes of the diluted net income (loss) per share calculation, common stock equivalents are excluded from the calculation of diluted net income (loss) per share if their effect would be anti-dilutive.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Comprehensive income (loss) includes net income (loss) as well as unrealized gains and losses on available-for-sale debt securities, net of income tax effects and reclassification adjustments for realized gains and losses.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Correction of Previously Issued Financial Statements</w:t>
      </w:r>
    </w:p>
    <w:p>
      <w:pPr>
        <w:spacing w:after="0" w:line="117" w:lineRule="exact"/>
        <w:rPr>
          <w:sz w:val="20"/>
          <w:szCs w:val="20"/>
          <w:color w:val="auto"/>
        </w:rPr>
      </w:pPr>
    </w:p>
    <w:p>
      <w:pPr>
        <w:ind w:firstLine="382"/>
        <w:spacing w:after="0" w:line="285" w:lineRule="auto"/>
        <w:rPr>
          <w:sz w:val="20"/>
          <w:szCs w:val="20"/>
          <w:color w:val="auto"/>
        </w:rPr>
      </w:pPr>
      <w:r>
        <w:rPr>
          <w:rFonts w:ascii="Arial" w:cs="Arial" w:eastAsia="Arial" w:hAnsi="Arial"/>
          <w:sz w:val="16"/>
          <w:szCs w:val="16"/>
          <w:color w:val="auto"/>
        </w:rPr>
        <w:t>During the quarter ended December 31, 2021, the Company identified an immaterial error in the presentation of payments made under the liability related to the sale of future royalties in the consolidated statements of cash flows for the three months ended March 31, 2021, six months ended June 30, 2021 and nine months ended September 30, 2021. Payments made under the liability related to the sale of future royalties were presented as cash outflows from financing activities in the interim financial statements for these periods. Upon further review, the Company determined that the amount of these payments attributable to imputed interest expense should be presented as cash outflows from operating activities, and only the amount attributable to principal repayments should be presented as cash outflows from financing activities. The amounts previously reported as cash outflows from financing activities which should have been reported as cash outflows from operating activities were $2.9 million for the three months ended March 31, 2021, $9.1 million for the six months ended June 30, 2021 and $15.3 million for the nine months ended September 30, 2021. The Company evaluated the materiality of these errors from both a quantitative and qualitative perspective and concluded that they were immaterial to the aforementioned previously issued interim financial statements taken as a whole. The Company has corrected the presentation of these cash flows in the accompanying consolidated statement of cash flows for the year ended December 31, 2021. The error in presentation did not have an impact on the financial statements for any periods prior to 2021, and did not have an impact on the previously reported assets, liabilities, stockholders’ equity or results of operations for the interim periods ended March 31, 2021, June 30, 2021 and September 30, 2021. Although the Company has determined that this error was not material to its previously issued interim financial statements for 2021, the Company is revising the previously issued interim financial statements to correct for such error, which revision will be effected in connection with its future filings of Form 10-Q for interim periods in 2022. The accompanying consolidated financial statements for the year ended December 31, 2021 reflect the as corrected annualized impact of correcting the error.</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00" w:firstLine="382"/>
        <w:spacing w:after="0" w:line="268" w:lineRule="auto"/>
        <w:rPr>
          <w:sz w:val="20"/>
          <w:szCs w:val="20"/>
          <w:color w:val="auto"/>
        </w:rPr>
      </w:pPr>
      <w:r>
        <w:rPr>
          <w:rFonts w:ascii="Arial" w:cs="Arial" w:eastAsia="Arial" w:hAnsi="Arial"/>
          <w:sz w:val="17"/>
          <w:szCs w:val="17"/>
          <w:color w:val="auto"/>
        </w:rPr>
        <w:t xml:space="preserve">In June 2016, the Financial Accounting Standards Board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amends the accounting for credit losses for most financial assets and certain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The standard requires that entities holding financial assets that are not accounted for at fair value through net income be presented at the net amount expected to be collected by recording an allowance for credit losses. The allowance for credit losses will be a valuation account that will be deducted from the amortized cost basis of the financial asset to present the net carrying value at the amount expected to be collected on the financial asset. The standard also amends the impairment model for available-for-sale debt securities, requiring credit losses on impaired debt securities to be included in results of operations. The Company adopted this standard effective January 1, 2020 using a modified retrospective transition method, which requires a cumulative-effect adjustment, if any, to opening accumulated deficit on the adoption date. The adoption of this standard primarily impacts the Company’s methodology used to assess credit losses on its accounts receivable, contract assets and available-for-sale debt securities. Based on the composition of the Company’s accounts receivable, contract assets and available-for-sale debt securities, the adoption of this standard required no cumulative-effect adjustments and did not have a material impact on the Company’s financial position or results of operations. Please refer to the significant accounting policies above for a description of the Company’s accounting policies for accounts receivable and marketable securities upon the adoption of this standard.</w:t>
      </w:r>
    </w:p>
    <w:p>
      <w:pPr>
        <w:spacing w:after="0" w:line="186" w:lineRule="exact"/>
        <w:rPr>
          <w:sz w:val="20"/>
          <w:szCs w:val="20"/>
          <w:color w:val="auto"/>
        </w:rPr>
      </w:pPr>
    </w:p>
    <w:p>
      <w:pPr>
        <w:ind w:right="60" w:firstLine="382"/>
        <w:spacing w:after="0" w:line="31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modifies certain disclosure requirements regarding fair value measurements. The Company adopted this</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effective January 1, 2020. The adoption of this standard did not have a material impact on the Company’s financial statement disclosures.</w:t>
      </w:r>
    </w:p>
    <w:p>
      <w:pPr>
        <w:spacing w:after="0" w:line="149" w:lineRule="exact"/>
        <w:rPr>
          <w:sz w:val="20"/>
          <w:szCs w:val="20"/>
          <w:color w:val="auto"/>
        </w:rPr>
      </w:pPr>
    </w:p>
    <w:p>
      <w:pPr>
        <w:ind w:right="80" w:firstLine="382"/>
        <w:spacing w:after="0" w:line="267"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The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Company adopted this standard effective January 1, 2020 on a prospective basis. The Company has various cloud-based software applications accounted for as service contracts, the most significant of which is the Company’s enterprise resource planning (ERP) system for which implementation was in progress on the adoption date of this standard. The adoption of this standard resulted in the capitalization of certain costs during the years ended December 31, 2021 and 2020 related to the implementation of the ERP system and other cloud-based software applications which would have been expensed as incurred prior to the adoption of this standard. Once implementation activities are substantially complete and the cloud-based application is ready for its intended use, capitalization of implementation costs ceases and amounts capitalized are amortized on a straight-line basis over the term of the hosting arrangement. Capitalized implementation costs for cloud-based applications are classified on the consolidated balance sheets and statements of operations and comprehensive income (loss) in the same manner as the costs of the associated hosting arrangement. As of December 31, 2021 and 2020, the Company had recorded capitalized costs, net of amounts amortized, of $3.3 million and $1.6 million, respectively, related to the implementation of cloud-based software applications accounted for as service contracts, which were included in prepaid expenses and other assets in the consolidated balance sheets. Amortization of capitalized implementation costs for cloud-based applications recorded for the years ended December 31, 2021 and 2020 was $0.6 million and $0.1 million, respectively, and was in included in general and administrative expenses in the consolidated statements of operations and comprehensive income (loss).</w:t>
      </w:r>
    </w:p>
    <w:p>
      <w:pPr>
        <w:sectPr>
          <w:pgSz w:w="11900" w:h="16838" w:orient="portrait"/>
          <w:cols w:equalWidth="0" w:num="1">
            <w:col w:w="11200"/>
          </w:cols>
          <w:pgMar w:left="320" w:top="125" w:right="379" w:bottom="1440" w:gutter="0" w:footer="0" w:header="0"/>
        </w:sectPr>
      </w:pP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382"/>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740)—Simplifying the Accounting for Income Taxes</w:t>
      </w:r>
      <w:r>
        <w:rPr>
          <w:rFonts w:ascii="Arial" w:cs="Arial" w:eastAsia="Arial" w:hAnsi="Arial"/>
          <w:sz w:val="17"/>
          <w:szCs w:val="17"/>
          <w:color w:val="auto"/>
        </w:rPr>
        <w:t>, which simplifies the current accounting for income taxes. Among other changes, the standard removes the exception to the incremental approach for intraperiod tax allocation when there is a loss from continuing operations and income or a gain from other items such as other comprehensive income. The Company early adopted this standard effective January 1, 2020, with certain aspects of the standard applied using the modified retrospective transition method and other aspects of the standard applied on a prospective basis. The adoption of this standard required no cumulative-effect adjustments and did not have a material impact on the Company’s financial position or results of operations.</w:t>
      </w:r>
    </w:p>
    <w:p>
      <w:pPr>
        <w:spacing w:after="0" w:line="178"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which supersedes the lease accounting requirements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840). Effective January 1, 2019, the Company adopted Topic 842 using the modified retrospective transition method. Under this method, the Company applied Topic 842 to all leases in effect as of, or entered into after, January 1, 2019 and recorded the cumulative impact of the adoption as an adjustment to its accumulated deficit on January 1, 2019. The cumulative impact of the adoption of Topic 842 resulted in an increase in accumulated deficit of less than $0.1 million on January 1, 2019. The adoption of Topic 842 did not have a material impact on the Company’s results of operations for years ended December 31, 2021, 2020 and 2019, nor does the Company believe it will have a material impact on future results of operations based on its current leasing arrangements. Please refer to the significant accounting policies above for a description of the Company’s lease accounting policies upon the adoption on Topic 842.</w:t>
      </w:r>
    </w:p>
    <w:p>
      <w:pPr>
        <w:spacing w:after="0" w:line="192" w:lineRule="exact"/>
        <w:rPr>
          <w:sz w:val="20"/>
          <w:szCs w:val="20"/>
          <w:color w:val="auto"/>
        </w:rPr>
      </w:pPr>
    </w:p>
    <w:p>
      <w:pPr>
        <w:ind w:right="60" w:firstLine="382"/>
        <w:spacing w:after="0" w:line="290"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from Accumulated Other Comprehensive Income</w:t>
      </w:r>
      <w:r>
        <w:rPr>
          <w:rFonts w:ascii="Arial" w:cs="Arial" w:eastAsia="Arial" w:hAnsi="Arial"/>
          <w:sz w:val="16"/>
          <w:szCs w:val="16"/>
          <w:color w:val="auto"/>
        </w:rPr>
        <w:t>, which amends the previous guidance on comprehensive income to provide an option for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to reclassify the stranded tax effects of the Tax Cuts and Jobs Act of 2017 (the TCJA) that was signed into law in December 2017 from accumulated other comprehensive income directly to retained earnings. The stranded tax effects result from the remeasurement of deferred tax assets and liabilities which were originally recorded in comprehensive income but whose remeasurement is reflected in the income statement. The Company adopted this standard effective January 1, 2019, and upon adoption recorded a cumulative adjustment of less than $0.1 million to reclassify the stranded tax effects of unrealized gains and losses on available-for-sale securities from accumulated other comprehensive income (loss) to accumulated deficit. The adoption of this standard did not have a material impact on the Company’s financial position or results of operations.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right="700" w:firstLine="382"/>
        <w:spacing w:after="0" w:line="277" w:lineRule="auto"/>
        <w:rPr>
          <w:sz w:val="20"/>
          <w:szCs w:val="20"/>
          <w:color w:val="auto"/>
        </w:rPr>
      </w:pPr>
      <w:r>
        <w:rPr>
          <w:rFonts w:ascii="Arial" w:cs="Arial" w:eastAsia="Arial" w:hAnsi="Arial"/>
          <w:sz w:val="18"/>
          <w:szCs w:val="18"/>
          <w:color w:val="auto"/>
        </w:rPr>
        <w:t>The following tables present a summary of the Company’s marketable securities, which consist solely of available-for-sale debt securities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Unrealized</w:t>
            </w:r>
          </w:p>
        </w:tc>
        <w:tc>
          <w:tcPr>
            <w:tcW w:w="14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2021</w:t>
            </w:r>
          </w:p>
        </w:tc>
        <w:tc>
          <w:tcPr>
            <w:tcW w:w="1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U.S. government and agency securities</w:t>
            </w:r>
          </w:p>
        </w:tc>
        <w:tc>
          <w:tcPr>
            <w:tcW w:w="1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60,118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59,889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442,792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(1,533)</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441,321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505,846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504,137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Amortized 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165,850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Municipal securities</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183,623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382"/>
        <w:spacing w:after="0" w:line="263" w:lineRule="auto"/>
        <w:rPr>
          <w:sz w:val="20"/>
          <w:szCs w:val="20"/>
          <w:color w:val="auto"/>
        </w:rPr>
      </w:pPr>
      <w:r>
        <w:rPr>
          <w:rFonts w:ascii="Arial" w:cs="Arial" w:eastAsia="Arial" w:hAnsi="Arial"/>
          <w:sz w:val="18"/>
          <w:szCs w:val="18"/>
          <w:color w:val="auto"/>
        </w:rPr>
        <w:t>As of December 31, 2021 and 2020, no available-for-sale debt securities had remaining maturities greater than three years. The amortized cost of marketable debt securities is adjusted for amortization of premiums and accretion of discounts to maturity, or to the earliest call date for callable debt securities purchased at a premium.</w:t>
      </w:r>
    </w:p>
    <w:p>
      <w:pPr>
        <w:spacing w:after="0" w:line="184" w:lineRule="exact"/>
        <w:rPr>
          <w:sz w:val="20"/>
          <w:szCs w:val="20"/>
          <w:color w:val="auto"/>
        </w:rPr>
      </w:pPr>
    </w:p>
    <w:p>
      <w:pPr>
        <w:ind w:firstLine="382"/>
        <w:spacing w:after="0" w:line="311" w:lineRule="auto"/>
        <w:rPr>
          <w:sz w:val="20"/>
          <w:szCs w:val="20"/>
          <w:color w:val="auto"/>
        </w:rPr>
      </w:pPr>
      <w:r>
        <w:rPr>
          <w:rFonts w:ascii="Arial" w:cs="Arial" w:eastAsia="Arial" w:hAnsi="Arial"/>
          <w:sz w:val="16"/>
          <w:szCs w:val="16"/>
          <w:color w:val="auto"/>
        </w:rPr>
        <w:t>As of December 31, 2021 and 2020, the balance in accumulated other comprehensive loss consisted solely of unrealized gains and losses on available-for-sale debt securities, net of reclassification adjustments for realized gains and losses and income tax effects. Unrealized gain (loss) on available-for-sale securities, net, presented in the statements of operations and comprehensive income (loss) consisted of the following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88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before reclassifications</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(2,202)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Realized gains reclassified to investment income</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(467)</w:t>
            </w: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Unrealized gain (loss) on available-for-sale securities, net</w:t>
            </w: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382"/>
        <w:spacing w:after="0" w:line="277" w:lineRule="auto"/>
        <w:rPr>
          <w:sz w:val="20"/>
          <w:szCs w:val="20"/>
          <w:color w:val="auto"/>
        </w:rPr>
      </w:pPr>
      <w:r>
        <w:rPr>
          <w:rFonts w:ascii="Arial" w:cs="Arial" w:eastAsia="Arial" w:hAnsi="Arial"/>
          <w:sz w:val="18"/>
          <w:szCs w:val="18"/>
          <w:color w:val="auto"/>
        </w:rPr>
        <w:t>The following tables present the fair values and unrealized losses of available-for-sale debt securities held by the Company in an unrealized loss position for less than 12 months and 12 months or greater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ind w:left="300"/>
              <w:spacing w:after="0"/>
              <w:rPr>
                <w:sz w:val="20"/>
                <w:szCs w:val="20"/>
                <w:color w:val="auto"/>
              </w:rPr>
            </w:pPr>
            <w:r>
              <w:rPr>
                <w:rFonts w:ascii="Arial" w:cs="Arial" w:eastAsia="Arial" w:hAnsi="Arial"/>
                <w:sz w:val="14"/>
                <w:szCs w:val="14"/>
                <w:b w:val="1"/>
                <w:bCs w:val="1"/>
                <w:color w:val="auto"/>
              </w:rPr>
              <w:t>12 Months or Greater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U.S. government and agency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59,889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59,889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385,115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385,115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447,199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447,199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4"/>
          </w:tcPr>
          <w:p>
            <w:pPr>
              <w:ind w:left="300"/>
              <w:spacing w:after="0"/>
              <w:rPr>
                <w:sz w:val="20"/>
                <w:szCs w:val="20"/>
                <w:color w:val="auto"/>
              </w:rPr>
            </w:pPr>
            <w:r>
              <w:rPr>
                <w:rFonts w:ascii="Arial" w:cs="Arial" w:eastAsia="Arial" w:hAnsi="Arial"/>
                <w:sz w:val="14"/>
                <w:szCs w:val="14"/>
                <w:b w:val="1"/>
                <w:bCs w:val="1"/>
                <w:color w:val="auto"/>
              </w:rPr>
              <w:t>12 Months or Greater</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55,507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55,507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As of December 31, 2021, available-for-sale debt securities held by the Company which were in an unrealized loss position consisted of 92 investment grade security positions. The Company has the intent and ability to hold such securities until recovery, and based on the credit quality of the issuers and low severity of each unrealized loss position relative to its amortized cost basis, the Company did not identify any credit losses associated with its available-for-sale debt securities. The Company did not recognize any impairment or credit losses on available-for-sale debt securities during the years ended December 31, 2021, 2020 and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During the years ended December 31, 2020 and 2019, the Company recognized total net realized and unrealized gains of $4.8 million and $37.8 million, respectively, related to its marketable equity securities of Prevail Therapeutics Inc. (Prevail). The Prevail securities were acquired as consideration for a license to the NAV Technology Platform granted to Prevail in August 2017. Prevail completed its initial public offering (IPO) in June 2019, prior to which the securities were accounted for as non-marketable equity securities without a readily determinable fair value and had a carrying value of $0.4 million. Upon Prevail’s IPO in June 2019, the securities were reclassified to marketable securities and remeasured at fair value at each subsequent reporting date. As of December 31, 2020, the Company had sold all of its Prevail equity securities.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180" w:firstLine="382"/>
        <w:spacing w:after="0" w:line="308" w:lineRule="auto"/>
        <w:rPr>
          <w:sz w:val="20"/>
          <w:szCs w:val="20"/>
          <w:color w:val="auto"/>
        </w:rPr>
      </w:pPr>
      <w:r>
        <w:rPr>
          <w:rFonts w:ascii="Arial" w:cs="Arial" w:eastAsia="Arial" w:hAnsi="Arial"/>
          <w:sz w:val="17"/>
          <w:szCs w:val="17"/>
          <w:color w:val="auto"/>
        </w:rPr>
        <w:t>Financial instruments reported at fair value on a recurring basis include cash equivalents and marketable securities. The following tables present the fair value of cash equivalents and marketable securities in accordance with the hierarchy discussed in Note 2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Quoted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Significant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w w:val="87"/>
              </w:rPr>
              <w:t>prices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w w:val="96"/>
              </w:rPr>
              <w:t>markets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80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2021</w:t>
            </w: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mutual funds</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236,340</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ind w:left="740"/>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236,340</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236,340</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U.S. government and agency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59,889</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Certificates of deposit</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441,321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441,321</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marketable securities</w:t>
            </w: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504,137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504,137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240" w:type="dxa"/>
            <w:vAlign w:val="bottom"/>
          </w:tcPr>
          <w:p>
            <w:pPr>
              <w:ind w:left="740"/>
              <w:spacing w:after="0"/>
              <w:rPr>
                <w:sz w:val="20"/>
                <w:szCs w:val="20"/>
                <w:color w:val="auto"/>
              </w:rPr>
            </w:pPr>
            <w:r>
              <w:rPr>
                <w:rFonts w:ascii="Arial" w:cs="Arial" w:eastAsia="Arial" w:hAnsi="Arial"/>
                <w:sz w:val="18"/>
                <w:szCs w:val="18"/>
                <w:color w:val="auto"/>
              </w:rPr>
              <w:t>Total cash equivalents and marketable securities</w:t>
            </w: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740,477</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740,477</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5240" w:type="dxa"/>
            <w:vAlign w:val="bottom"/>
          </w:tcPr>
          <w:p>
            <w:pPr>
              <w:spacing w:after="0"/>
              <w:rPr>
                <w:sz w:val="24"/>
                <w:szCs w:val="24"/>
                <w:color w:val="auto"/>
              </w:rPr>
            </w:pP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Quoted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Significant</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240" w:type="dxa"/>
            <w:vAlign w:val="bottom"/>
          </w:tcPr>
          <w:p>
            <w:pPr>
              <w:spacing w:after="0"/>
              <w:rPr>
                <w:sz w:val="14"/>
                <w:szCs w:val="14"/>
                <w:color w:val="auto"/>
              </w:rPr>
            </w:pP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w w:val="87"/>
              </w:rPr>
              <w:t>prices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w w:val="96"/>
              </w:rPr>
              <w:t>markets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80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Money market mutual funds</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96,307</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ind w:left="740"/>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96,307</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96,307</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U.S. government and agency securities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12,804</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Certificates of deposit</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166,292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166,292</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Municipal securities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marketable securities</w:t>
            </w:r>
          </w:p>
        </w:tc>
        <w:tc>
          <w:tcPr>
            <w:tcW w:w="8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184,123</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184,123</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cash equivalents and marketable securities</w:t>
            </w: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280,430</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Management estimates that the carrying amounts of its current accounts receivable, other current assets, accounts payable, accrued expenses and other current liabilities approximate fair value due to the short-term nature of those instruments. Accounts receivable which contain non-current portions are recorded at their present values using a discount rate that is based on prevailing market rates and the credit profile of the licensee on the date the amounts are initially recorded. Management does not believe there have been any significant changes in market conditions or credit quality that would cause the discount rates initially used to be materially different from those that would be used as of December 31, 2021 to determine the present value of the receivables. Accordingly, management estimates that the carrying value of its non-current accounts receivable approximates the fair value of those instruments. Management estimates that the carrying value of the liability related to the sale of future royalties approximates fair value. As discussed in Note 7, the carrying value of the liability related to the sale of future royalties is based on the Company’s estimate of future royalty payments expected to be paid to HCR over the life of the arrangement, which are considered Level 3 inputs.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17" w:lineRule="exact"/>
        <w:rPr>
          <w:sz w:val="20"/>
          <w:szCs w:val="20"/>
          <w:color w:val="auto"/>
        </w:rPr>
      </w:pPr>
    </w:p>
    <w:p>
      <w:pPr>
        <w:ind w:right="180" w:firstLine="382"/>
        <w:spacing w:after="0" w:line="255" w:lineRule="auto"/>
        <w:rPr>
          <w:sz w:val="20"/>
          <w:szCs w:val="20"/>
          <w:color w:val="auto"/>
        </w:rPr>
      </w:pPr>
      <w:r>
        <w:rPr>
          <w:rFonts w:ascii="Arial" w:cs="Arial" w:eastAsia="Arial" w:hAnsi="Arial"/>
          <w:sz w:val="18"/>
          <w:szCs w:val="18"/>
          <w:color w:val="auto"/>
        </w:rPr>
        <w:t>Non-marketable equity securities are measured at cost less impairment, adjusted for observable price changes for identical or similar investments of the same issuer. As of December 31, 2021, the Company did not hold any non-marketable equity securities. As of December 31, 2020, non-marketable equity securities had a carrying value of $1.1 million and were included in other assets on the consolidated balance sheet. The Company did not identify any observable price changes or changes in circumstances that would have had an adverse effect on the fair value of the securities as of December 31, 2020. No remeasurements or impairment losses were recorded on non-marketable equity securities during the years ended December 31, 2021, 2020 and 2019.</w:t>
      </w:r>
    </w:p>
    <w:p>
      <w:pPr>
        <w:spacing w:after="0" w:line="192"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The Company’s non-marketable equity securities as of December 31, 2020 consisted solely of equity securities of Corlieve Therapeutics SAS (Corlieve), which were acquired in June 2020 as consideration under a license and collaboration agreement with Corlieve. In July 2021, Corlieve was acquired by uniQure N.V. (uniQure). In exchange for its ownership in Corlieve, the Company received sales proceeds of €4.8 million ($5.6 million) from uniQure and is entitled to receive additional proceeds of €0.5 million ($0.6 million as of December 31, 2021) by July 2022. The Company recorded a realized gain of $5.2 million during the year ended December 31, 2021 as a result of the acquisition of its Corlieve securities by uniQure, which is included in investment income in the consolidated statements of operations and comprehensive income (loss). In connection with the acquisition, the Company is also eligible to receive payments of up to €37.1 million ($42.1 million as of December 31, 2021) from uniQure contingent upon the achievement of various development and regulatory milestones, none of which have been recognized in the consolidated financial statements as of December 31, 2021. Proceeds contingent upon the achievement of these milestones will be recognized as investment income in the period in which any uncertainty regarding realization is substantially resolved, which may not occur until the achievement of the underlying milestones. It is at least reasonably possible that some or all of the proceeds contingent upon these milestones will not be realized by the Company.</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22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manufacturing equipment</w:t>
            </w:r>
          </w:p>
        </w:tc>
        <w:tc>
          <w:tcPr>
            <w:tcW w:w="10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26,306</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3,764</w:t>
            </w:r>
          </w:p>
        </w:tc>
        <w:tc>
          <w:tcPr>
            <w:tcW w:w="8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92,535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44,957</w:t>
            </w:r>
          </w:p>
        </w:tc>
        <w:tc>
          <w:tcPr>
            <w:tcW w:w="80" w:type="dxa"/>
            <w:vAlign w:val="bottom"/>
            <w:tcBorders>
              <w:bottom w:val="single" w:sz="8" w:color="CFF0FC"/>
            </w:tcBorders>
          </w:tcPr>
          <w:p>
            <w:pPr>
              <w:spacing w:after="0"/>
              <w:rPr>
                <w:sz w:val="19"/>
                <w:szCs w:val="19"/>
                <w:color w:val="auto"/>
              </w:rPr>
            </w:pPr>
          </w:p>
        </w:tc>
      </w:tr>
      <w:tr>
        <w:trPr>
          <w:trHeight w:val="223"/>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0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160,583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79,141</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(29,036)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(22,674)</w:t>
            </w:r>
          </w:p>
        </w:tc>
      </w:tr>
      <w:tr>
        <w:trPr>
          <w:trHeight w:val="223"/>
        </w:trPr>
        <w:tc>
          <w:tcPr>
            <w:tcW w:w="4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131,547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382"/>
        <w:spacing w:after="0" w:line="282" w:lineRule="auto"/>
        <w:rPr>
          <w:sz w:val="20"/>
          <w:szCs w:val="20"/>
          <w:color w:val="auto"/>
        </w:rPr>
      </w:pPr>
      <w:r>
        <w:rPr>
          <w:rFonts w:ascii="Arial" w:cs="Arial" w:eastAsia="Arial" w:hAnsi="Arial"/>
          <w:sz w:val="18"/>
          <w:szCs w:val="18"/>
          <w:color w:val="auto"/>
        </w:rPr>
        <w:t>During the years ended December 31, 2021, 2020 and 2019, the Company recorded depreciation and amortization expense of $9.6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$8.4 million and $7.2 million, respectively.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9804 Medical Center Drive</w:t>
      </w:r>
    </w:p>
    <w:p>
      <w:pPr>
        <w:spacing w:after="0" w:line="117"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In November 2018, the Company entered into an operating lease, as amended from time to time, for approximately 186,000 square feet of office, laboratory and manufacturing facilities at a new building to be constructed at 9804 Medical Center Drive in Rockville, Maryland (the 9804 Medical Center Drive Lease), which will serve as the Company’s corporate, research and manufacturing headquarters. The initial construction of the building was performed by the landlord and the lease commenced in September 2020 upon delivery of the leased premises to the Company to make additional improvements to the building. Monthly payments under the lease began in September 2021 and escalate annually in accordance with the lease agreement. The lease expires in September 2036, subject to extension and termination options held by the Company. The Company has the option to extend the term of the lease for up to 10 additional years and the option to terminate the lease, with payment of an early termination fee, after 12 years from the delivery of the leased premises to the Company. As of December 31, 2021, the Company’s extension and termination options under the 9804 Medical Center Drive Lease have been excluded from the measurement of the right-of-use assets and lease liabilities as they were not reasonably certain of exercise. As required by the lease agreement, the Company has provided the landlord with an irrevocable letter of credit of $1.1 million which the landlord may draw upon in the event of any uncured default by the Company under the terms of the lease.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Pursuant to the 9804 Medical Center Drive Lease, the Company received a $19.5 million tenant improvement allowance from the landlord to perform improvements to the leased premises. The tenant improvement allowance has been recorded as a reduction of the right-of-use assets for the lease and is amortized on a straight-line basis as a reduction of lease expense over the term of the lease. As of December 31, 2021, the Company had unreimbursed amounts remaining under the tenant improvement allowance of $1.5 million, which were deemed in-substance lease payments and recorded as a reduction of the lease liability. The Company began occupation of a portion of the facility in 2021, while the buildout of the remaining portion of the building, including the manufacturing facility, is expected to be completed in the first half of 2022. As of December 31, 2021, the Company had recorded property and equipment at cost of $113.2 million related to the buildout at 9804 Medical Center Drive, of which $41.2 million was placed in service upon the initial occupation of the building in 2021 and $72.0 million, primarily related to the manufacturing facility, has not yet been placed in service.</w:t>
      </w:r>
    </w:p>
    <w:p>
      <w:pPr>
        <w:spacing w:after="0" w:line="165"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The Company recorded the right-of-use assets and lease liabilities related to the 9804 Medical Center Drive Lease upon its commencement in September 2020. As of December 31, 2021, the Company had recorded right-of-use assets of $48.3 million and lease liabilities of $72.5 million related to the 9804 Medical Center Drive Lease.</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9712 Medical Center Drive</w:t>
      </w:r>
    </w:p>
    <w:p>
      <w:pPr>
        <w:spacing w:after="0" w:line="117"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In March 2015, the Company entered into an operating lease for office space at 9712 Medical Center Drive in Rockville, Maryland (the 9712 Medical Center Drive Lease). The lease term commenced in April 2015, and monthly payments under the lease began in October 2015 and escalate annually in accordance with the lease agreement.</w:t>
      </w:r>
    </w:p>
    <w:p>
      <w:pPr>
        <w:spacing w:after="0" w:line="184" w:lineRule="exact"/>
        <w:rPr>
          <w:sz w:val="20"/>
          <w:szCs w:val="20"/>
          <w:color w:val="auto"/>
        </w:rPr>
      </w:pPr>
    </w:p>
    <w:p>
      <w:pPr>
        <w:ind w:right="100" w:firstLine="382"/>
        <w:spacing w:after="0" w:line="289" w:lineRule="auto"/>
        <w:rPr>
          <w:sz w:val="20"/>
          <w:szCs w:val="20"/>
          <w:color w:val="auto"/>
        </w:rPr>
      </w:pPr>
      <w:r>
        <w:rPr>
          <w:rFonts w:ascii="Arial" w:cs="Arial" w:eastAsia="Arial" w:hAnsi="Arial"/>
          <w:sz w:val="16"/>
          <w:szCs w:val="16"/>
          <w:color w:val="auto"/>
        </w:rPr>
        <w:t>The 9712 Medical Center Drive Lease has been amended from time to time to include additional office and laboratory space at an adjacent building located at 9714 Medical Center Drive and extend the term of the lease. In October 2020, the 9712 Medical Center Drive Lease was amended to extend the lease term from September 2021 to February 2027, subject to extension options held by the Company. The October 2020 amendment resulted in a $7.2 million increase in the right-of-use assets and lease liabilities under the 9712 Medical Center Drive Lease. The Company has an option to extend the term of the lease for three additional years, as well as an option to extend the lease term to be coterminous with the 9804 Medical Center Drive Lease, which expires in September 2036. As of December 31, 2021, the Company’s extension options under the 9712 Medical Center Drive Lease have been excluded from the measurement of the right-of-use assets and lease liabilities as they were not reasonably certain of exercise. The Company received a $0.4 million tenant improvement allowance from the landlord which has been recorded as a reduction of the right-of-use assets for the lease and is amortized on a straight-line basis as a reduction of lease expense over the term of the lease.</w:t>
      </w:r>
    </w:p>
    <w:p>
      <w:pPr>
        <w:spacing w:after="0" w:line="2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400 Madison Avenue</w:t>
      </w:r>
    </w:p>
    <w:p>
      <w:pPr>
        <w:spacing w:after="0" w:line="117"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In May 2016, the Company entered into an operating lease for office space at 400 Madison Avenue in New York, New York (the 400 Madison Lease). The lease term commenced in July 2016, and monthly payments under the lease began in October 2016 and escalate annually in accordance with the lease agreement. In May 2019, the 400 Madison Lease was amended to include additional office space and extend the lease term from October 2020 to April 2027. The May 2019 amendment resulted in a $5.2 million increase in the right-of-use assets and lease liabilities under the 400 Madison Lease. The Company received a $0.7 million tenant improvement allowance from the landlord which has been recorded as a reduction of the right-of-use assets for the lease and is amortized on a straight-line basis as a reduction of lease expense over the term of the lease. As required by the lease agreement, the Company has provided the landlord with an irrevocable letter of credit of $0.2 million which the landlord may draw upon in the event of any uncured default by the Company under the terms of the lease.</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9600 Blackwell Road</w:t>
      </w:r>
    </w:p>
    <w:p>
      <w:pPr>
        <w:spacing w:after="0" w:line="117"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In November 2020, the Company exercised its termination option under the operating lease for its former corporate headquarters at 9600 Blackwell Road in Rockville, Maryland (the 9600 Blackwell Road Lease). Upon exercise of the termination option, the Company was obligated to pay an early termination fee of $0.4 million and the lease term was reduced from September 2023 to September 2021. The exercise of the termination option in November 2020 resulted in a $0.7 million decrease in the right-of-use assets and lease liabilities under the 9600 Blackwell Road Lease, and the lease was terminated upon its expiration in September 2021.</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Leases</w:t>
      </w:r>
    </w:p>
    <w:p>
      <w:pPr>
        <w:spacing w:after="0" w:line="117" w:lineRule="exact"/>
        <w:rPr>
          <w:sz w:val="20"/>
          <w:szCs w:val="20"/>
          <w:color w:val="auto"/>
        </w:rPr>
      </w:pPr>
    </w:p>
    <w:p>
      <w:pPr>
        <w:ind w:right="200" w:firstLine="382"/>
        <w:spacing w:after="0" w:line="277" w:lineRule="auto"/>
        <w:rPr>
          <w:sz w:val="20"/>
          <w:szCs w:val="20"/>
          <w:color w:val="auto"/>
        </w:rPr>
      </w:pPr>
      <w:r>
        <w:rPr>
          <w:rFonts w:ascii="Arial" w:cs="Arial" w:eastAsia="Arial" w:hAnsi="Arial"/>
          <w:sz w:val="18"/>
          <w:szCs w:val="18"/>
          <w:color w:val="auto"/>
        </w:rPr>
        <w:t>The Company leases additional laboratory and other equipment under operating leases with various expiration dates through 2028, including leases which have been executed but have not yet commenced.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Operating Lease Information</w:t>
      </w:r>
    </w:p>
    <w:p>
      <w:pPr>
        <w:spacing w:after="0" w:line="117"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All of the Company’s leases are classified as operating leases. The following table summarizes the Company’s lease costs and supplemental cash flow information related to its operating leases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9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9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12,077</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6,350</w:t>
            </w: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Cash paid (received) for amounts included in</w:t>
            </w:r>
          </w:p>
        </w:tc>
        <w:tc>
          <w:tcPr>
            <w:tcW w:w="9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1840" w:type="dxa"/>
            <w:vAlign w:val="bottom"/>
            <w:gridSpan w:val="2"/>
            <w:shd w:val="clear" w:color="auto" w:fill="CFF0FC"/>
          </w:tcPr>
          <w:p>
            <w:pPr>
              <w:jc w:val="right"/>
              <w:ind w:right="71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(6,765)</w:t>
            </w: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(678)</w:t>
            </w:r>
          </w:p>
        </w:tc>
        <w:tc>
          <w:tcPr>
            <w:tcW w:w="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FF0FC"/>
          </w:tcPr>
          <w:p>
            <w:pPr>
              <w:spacing w:after="0"/>
              <w:rPr>
                <w:sz w:val="20"/>
                <w:szCs w:val="20"/>
                <w:color w:val="auto"/>
              </w:rPr>
            </w:pPr>
          </w:p>
        </w:tc>
      </w:tr>
      <w:tr>
        <w:trPr>
          <w:trHeight w:val="215"/>
        </w:trPr>
        <w:tc>
          <w:tcPr>
            <w:tcW w:w="4300" w:type="dxa"/>
            <w:vAlign w:val="bottom"/>
          </w:tcPr>
          <w:p>
            <w:pPr>
              <w:spacing w:after="0"/>
              <w:rPr>
                <w:sz w:val="20"/>
                <w:szCs w:val="20"/>
                <w:color w:val="auto"/>
              </w:rPr>
            </w:pPr>
            <w:r>
              <w:rPr>
                <w:rFonts w:ascii="Arial" w:cs="Arial" w:eastAsia="Arial" w:hAnsi="Arial"/>
                <w:sz w:val="18"/>
                <w:szCs w:val="18"/>
                <w:color w:val="auto"/>
              </w:rPr>
              <w:t>Right-of-use assets acquired through operating</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184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1,955</w:t>
            </w:r>
          </w:p>
        </w:tc>
        <w:tc>
          <w:tcPr>
            <w:tcW w:w="80" w:type="dxa"/>
            <w:vAlign w:val="bottom"/>
          </w:tcPr>
          <w:p>
            <w:pPr>
              <w:spacing w:after="0"/>
              <w:rPr>
                <w:sz w:val="20"/>
                <w:szCs w:val="20"/>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56,956</w:t>
            </w:r>
          </w:p>
        </w:tc>
        <w:tc>
          <w:tcPr>
            <w:tcW w:w="160" w:type="dxa"/>
            <w:vAlign w:val="bottom"/>
          </w:tcPr>
          <w:p>
            <w:pPr>
              <w:spacing w:after="0"/>
              <w:rPr>
                <w:sz w:val="20"/>
                <w:szCs w:val="20"/>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0"/>
                <w:szCs w:val="20"/>
                <w:color w:val="auto"/>
              </w:rPr>
            </w:pPr>
          </w:p>
        </w:tc>
      </w:tr>
    </w:tbl>
    <w:p>
      <w:pPr>
        <w:spacing w:after="0" w:line="269"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Cash received for amounts included in operating lease liabilities for the years ended December 31, 2021 and 2020 includes $11.4 million and $5.0 million, respectively, received by the Company during the period under its tenant improvement allowances, which were deemed in-substance lease payments and included in the calculation of the lease liability. Right-of-use assets acquired through operating lease liabilities for the years ended December 31, 2020 and 2019 include additions and reductions to right-of-use assets resulting from lease modifications and changes in lease term. Short-term lease expense for the years ended December 31, 2021, 2020 and 2019 was not material and is included in operating lease cost in the table above. Variable lease cost under the Company’s operating leases includes items such as common area maintenance, utilities, taxes and other charges.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weighted-average remaining lease term and weighted-average discount rate of the Company’s operating leases were as follows:</w:t>
      </w:r>
    </w:p>
    <w:p>
      <w:pPr>
        <w:spacing w:after="0" w:line="298"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52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1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bl>
    <w:p>
      <w:pPr>
        <w:spacing w:after="0" w:line="255" w:lineRule="exact"/>
        <w:rPr>
          <w:sz w:val="20"/>
          <w:szCs w:val="20"/>
          <w:color w:val="auto"/>
        </w:rPr>
      </w:pPr>
    </w:p>
    <w:p>
      <w:pPr>
        <w:ind w:right="40" w:firstLine="382"/>
        <w:spacing w:after="0" w:line="308" w:lineRule="auto"/>
        <w:rPr>
          <w:sz w:val="20"/>
          <w:szCs w:val="20"/>
          <w:color w:val="auto"/>
        </w:rPr>
      </w:pPr>
      <w:r>
        <w:rPr>
          <w:rFonts w:ascii="Arial" w:cs="Arial" w:eastAsia="Arial" w:hAnsi="Arial"/>
          <w:sz w:val="17"/>
          <w:szCs w:val="17"/>
          <w:color w:val="auto"/>
        </w:rPr>
        <w:t>The following table presents a reconciliation of the undiscounted future minimum lease payments remaining under the Company’s operating leases to the amounts reported as operating lease liabilities on the consolidated balance sheet as of December 31, 2021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r>
      <w:tr>
        <w:trPr>
          <w:trHeight w:val="171"/>
        </w:trPr>
        <w:tc>
          <w:tcPr>
            <w:tcW w:w="5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2021</w:t>
            </w: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Undiscounted future minimum lease payments:</w:t>
            </w:r>
          </w:p>
        </w:tc>
        <w:tc>
          <w:tcPr>
            <w:tcW w:w="1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720" w:type="dxa"/>
            <w:vAlign w:val="bottom"/>
          </w:tcPr>
          <w:p>
            <w:pPr>
              <w:ind w:left="240"/>
              <w:spacing w:after="0"/>
              <w:rPr>
                <w:sz w:val="20"/>
                <w:szCs w:val="20"/>
                <w:color w:val="auto"/>
              </w:rPr>
            </w:pPr>
            <w:r>
              <w:rPr>
                <w:rFonts w:ascii="Arial" w:cs="Arial" w:eastAsia="Arial" w:hAnsi="Arial"/>
                <w:sz w:val="18"/>
                <w:szCs w:val="18"/>
                <w:color w:val="auto"/>
              </w:rPr>
              <w:t>2022</w:t>
            </w:r>
          </w:p>
        </w:tc>
        <w:tc>
          <w:tcPr>
            <w:tcW w:w="16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6,556</w:t>
            </w:r>
          </w:p>
        </w:tc>
        <w:tc>
          <w:tcPr>
            <w:tcW w:w="80" w:type="dxa"/>
            <w:vAlign w:val="bottom"/>
          </w:tcPr>
          <w:p>
            <w:pPr>
              <w:spacing w:after="0"/>
              <w:rPr>
                <w:sz w:val="19"/>
                <w:szCs w:val="19"/>
                <w:color w:val="auto"/>
              </w:rPr>
            </w:pPr>
          </w:p>
        </w:tc>
      </w:tr>
      <w:tr>
        <w:trPr>
          <w:trHeight w:val="230"/>
        </w:trPr>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2023</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9,163</w:t>
            </w:r>
          </w:p>
        </w:tc>
        <w:tc>
          <w:tcPr>
            <w:tcW w:w="80" w:type="dxa"/>
            <w:vAlign w:val="bottom"/>
            <w:shd w:val="clear" w:color="auto" w:fill="CFF0FC"/>
          </w:tcPr>
          <w:p>
            <w:pPr>
              <w:spacing w:after="0"/>
              <w:rPr>
                <w:sz w:val="19"/>
                <w:szCs w:val="19"/>
                <w:color w:val="auto"/>
              </w:rPr>
            </w:pPr>
          </w:p>
        </w:tc>
      </w:tr>
      <w:tr>
        <w:trPr>
          <w:trHeight w:val="229"/>
        </w:trPr>
        <w:tc>
          <w:tcPr>
            <w:tcW w:w="5720" w:type="dxa"/>
            <w:vAlign w:val="bottom"/>
          </w:tcPr>
          <w:p>
            <w:pPr>
              <w:ind w:left="240"/>
              <w:spacing w:after="0"/>
              <w:rPr>
                <w:sz w:val="20"/>
                <w:szCs w:val="20"/>
                <w:color w:val="auto"/>
              </w:rPr>
            </w:pPr>
            <w:r>
              <w:rPr>
                <w:rFonts w:ascii="Arial" w:cs="Arial" w:eastAsia="Arial" w:hAnsi="Arial"/>
                <w:sz w:val="18"/>
                <w:szCs w:val="18"/>
                <w:color w:val="auto"/>
              </w:rPr>
              <w:t>2024</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10,224</w:t>
            </w:r>
          </w:p>
        </w:tc>
        <w:tc>
          <w:tcPr>
            <w:tcW w:w="80" w:type="dxa"/>
            <w:vAlign w:val="bottom"/>
          </w:tcPr>
          <w:p>
            <w:pPr>
              <w:spacing w:after="0"/>
              <w:rPr>
                <w:sz w:val="19"/>
                <w:szCs w:val="19"/>
                <w:color w:val="auto"/>
              </w:rPr>
            </w:pPr>
          </w:p>
        </w:tc>
      </w:tr>
      <w:tr>
        <w:trPr>
          <w:trHeight w:val="230"/>
        </w:trPr>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2025</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10,383</w:t>
            </w:r>
          </w:p>
        </w:tc>
        <w:tc>
          <w:tcPr>
            <w:tcW w:w="80" w:type="dxa"/>
            <w:vAlign w:val="bottom"/>
            <w:shd w:val="clear" w:color="auto" w:fill="CFF0FC"/>
          </w:tcPr>
          <w:p>
            <w:pPr>
              <w:spacing w:after="0"/>
              <w:rPr>
                <w:sz w:val="19"/>
                <w:szCs w:val="19"/>
                <w:color w:val="auto"/>
              </w:rPr>
            </w:pPr>
          </w:p>
        </w:tc>
      </w:tr>
      <w:tr>
        <w:trPr>
          <w:trHeight w:val="230"/>
        </w:trPr>
        <w:tc>
          <w:tcPr>
            <w:tcW w:w="5720" w:type="dxa"/>
            <w:vAlign w:val="bottom"/>
          </w:tcPr>
          <w:p>
            <w:pPr>
              <w:ind w:left="240"/>
              <w:spacing w:after="0"/>
              <w:rPr>
                <w:sz w:val="20"/>
                <w:szCs w:val="20"/>
                <w:color w:val="auto"/>
              </w:rPr>
            </w:pPr>
            <w:r>
              <w:rPr>
                <w:rFonts w:ascii="Arial" w:cs="Arial" w:eastAsia="Arial" w:hAnsi="Arial"/>
                <w:sz w:val="18"/>
                <w:szCs w:val="18"/>
                <w:color w:val="auto"/>
              </w:rPr>
              <w:t>2026</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10,388</w:t>
            </w:r>
          </w:p>
        </w:tc>
        <w:tc>
          <w:tcPr>
            <w:tcW w:w="80" w:type="dxa"/>
            <w:vAlign w:val="bottom"/>
          </w:tcPr>
          <w:p>
            <w:pPr>
              <w:spacing w:after="0"/>
              <w:rPr>
                <w:sz w:val="19"/>
                <w:szCs w:val="19"/>
                <w:color w:val="auto"/>
              </w:rPr>
            </w:pPr>
          </w:p>
        </w:tc>
      </w:tr>
      <w:tr>
        <w:trPr>
          <w:trHeight w:val="230"/>
        </w:trPr>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15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83,050</w:t>
            </w:r>
          </w:p>
        </w:tc>
        <w:tc>
          <w:tcPr>
            <w:tcW w:w="80" w:type="dxa"/>
            <w:vAlign w:val="bottom"/>
            <w:shd w:val="clear" w:color="auto" w:fill="CFF0FC"/>
          </w:tcPr>
          <w:p>
            <w:pPr>
              <w:spacing w:after="0"/>
              <w:rPr>
                <w:sz w:val="19"/>
                <w:szCs w:val="19"/>
                <w:color w:val="auto"/>
              </w:rPr>
            </w:pPr>
          </w:p>
        </w:tc>
      </w:tr>
      <w:tr>
        <w:trPr>
          <w:trHeight w:val="263"/>
        </w:trPr>
        <w:tc>
          <w:tcPr>
            <w:tcW w:w="57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undiscounted future minimum lease payments</w:t>
            </w:r>
          </w:p>
        </w:tc>
        <w:tc>
          <w:tcPr>
            <w:tcW w:w="15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129,764</w:t>
            </w:r>
          </w:p>
        </w:tc>
        <w:tc>
          <w:tcPr>
            <w:tcW w:w="80" w:type="dxa"/>
            <w:vAlign w:val="bottom"/>
            <w:tcBorders>
              <w:bottom w:val="single" w:sz="8" w:color="CFF0FC"/>
            </w:tcBorders>
          </w:tcPr>
          <w:p>
            <w:pPr>
              <w:spacing w:after="0"/>
              <w:rPr>
                <w:sz w:val="22"/>
                <w:szCs w:val="22"/>
                <w:color w:val="auto"/>
              </w:rPr>
            </w:pPr>
          </w:p>
        </w:tc>
      </w:tr>
      <w:tr>
        <w:trPr>
          <w:trHeight w:val="21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Amount representing imputed interest</w:t>
            </w: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(41,619)</w:t>
            </w:r>
          </w:p>
        </w:tc>
        <w:tc>
          <w:tcPr>
            <w:tcW w:w="80" w:type="dxa"/>
            <w:vAlign w:val="bottom"/>
            <w:shd w:val="clear" w:color="auto" w:fill="CFF0FC"/>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Tenant improvement allowance not yet received</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r>
      <w:tr>
        <w:trPr>
          <w:trHeight w:val="223"/>
        </w:trPr>
        <w:tc>
          <w:tcPr>
            <w:tcW w:w="57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lease liabilities</w:t>
            </w:r>
          </w:p>
        </w:tc>
        <w:tc>
          <w:tcPr>
            <w:tcW w:w="1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86,681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(1,752)</w:t>
            </w:r>
          </w:p>
        </w:tc>
      </w:tr>
      <w:tr>
        <w:trPr>
          <w:trHeight w:val="223"/>
        </w:trPr>
        <w:tc>
          <w:tcPr>
            <w:tcW w:w="57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Operating lease liabilities, non-current</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The table above excludes future minimum lease payments for leases which were executed but had not yet commenced as of December 31, 2021, the total of which were not material.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Liability Related to Sale of Future Royalties</w:t>
      </w:r>
    </w:p>
    <w:p>
      <w:pPr>
        <w:spacing w:after="0" w:line="121"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In December 2020, the Company entered into a royalty purchase agreement (the Royalty Purchase Agreement) with HCR. Under the agreement, HCR purchased the Company’s rights to a capped amount of Zolgensma royalty payments under the Company’s license agreement with Novartis Gene Therapies, including $4.0 million of royalty payments received by the Company in the fourth quarter of 2020 (the Pledged Royalties). In consideration for these rights, HCR paid the Company $200.0 million (the Purchase Price), less $4.0 million representing the payment of the Pledged Royalties to HCR. Beginning upon the effective date of the agreement, Zolgensma royalty payments, up to a specified threshold, will be paid to HCR, net of upstream royalties payable by the Company to certain licensors in accordance with existing license agreements.</w:t>
      </w:r>
    </w:p>
    <w:p>
      <w:pPr>
        <w:spacing w:after="0" w:line="178"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Pursuant to the Royalty Purchase Agreement, the total amount of royalty payments to be received by HCR under the agreement is subject to an increasing cap (the Cap Amount) equal to (i) $260.0 million applicable for the period from the effective date of the agreement through November 7, 2024, and (ii) $300.0 million applicable for the period from November 8, 2024 through the effective date of termination of the license agreement with Novartis Gene Therapies. If, on or prior to the defined dates for each Cap Amount, the total amount of royalty payments received by HCR equals or exceeds the Cap Amount applicable to such date, the Royalty Purchase Agreement will automatically terminate and all rights to the Zolgensma royalty payments will revert back to the Company. The Company has no obligation to repay any amounts to HCR if total future Zolgensma royalty payments are not sufficient to achieve the applicable Cap Amount prior to the termination of the license agreement with Novartis Gene Therapies.</w:t>
      </w:r>
    </w:p>
    <w:p>
      <w:pPr>
        <w:spacing w:after="0" w:line="177"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The Company has a call option to repurchase its rights to the purchased royalties from HCR for a repurchase price equal to, as of the option exercise date, $300.0 million minus the total amount of royalty payments received by HCR; provided, however, that with respect to a call option exercised on or before November 7, 2024, in the event that the then applicable Cap Amount minus the total amount of royalty payments received by HCR is less than $1.0 million, the repurchase price shall equal such difference.</w:t>
      </w:r>
    </w:p>
    <w:p>
      <w:pPr>
        <w:spacing w:after="0" w:line="187" w:lineRule="exact"/>
        <w:rPr>
          <w:sz w:val="20"/>
          <w:szCs w:val="20"/>
          <w:color w:val="auto"/>
        </w:rPr>
      </w:pPr>
    </w:p>
    <w:p>
      <w:pPr>
        <w:ind w:right="60" w:firstLine="382"/>
        <w:spacing w:after="0" w:line="254" w:lineRule="auto"/>
        <w:rPr>
          <w:sz w:val="20"/>
          <w:szCs w:val="20"/>
          <w:color w:val="auto"/>
        </w:rPr>
      </w:pPr>
      <w:r>
        <w:rPr>
          <w:rFonts w:ascii="Arial" w:cs="Arial" w:eastAsia="Arial" w:hAnsi="Arial"/>
          <w:sz w:val="18"/>
          <w:szCs w:val="18"/>
          <w:color w:val="auto"/>
        </w:rPr>
        <w:t>The proceeds received from HCR of $196.0 million were recorded as a liability, net of transaction costs of $3.5 million, which is amortized over the estimated life of the arrangement using the effective interest method. In order to determine the amortization of the liability, the Company is required to estimate the total amount of future royalty payments to be received by HCR, subject to the Cap Amount, over the life of the arrangement. The total amount of royalty payments received by HCR under the agreement, less the net proceeds received by the Company of $192.5 million, is recorded as interest expense over the life of the arrangement using the effective interest method. Due to its continuing involvement in the underlying license agreement with Novartis Gene Therapies, the Company continues to recognize royalty revenue on net sales of Zolgensma and records the royalty payments to HCR as a reduction of the liability when paid. As such payments are made to HCR, the balance of the liability will be effectively repaid over the life of the Royalty Purchase Agreement.</w:t>
      </w:r>
    </w:p>
    <w:p>
      <w:pPr>
        <w:spacing w:after="0" w:line="192"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The Company estimates the effective interest rate used to record interest expense under the Royalty Purchase Agreement based on its estimate of future royalty payments to be received by HCR. As of December 31, 2021, the estimated effective interest rate under the agreement was 15.1%. Over the life of the arrangement, the actual effective interest rate will be affected by the amount and timing of the royalty payments received by HCR and changes in the Company’s forecasted royalties. At each reporting date, the Company reassesses its estimate of total future royalty payments to be received by HCR at the applicable Cap Amount, and prospectively adjusts the effective interest rate and amortization of the liability as necessary.</w:t>
      </w:r>
    </w:p>
    <w:p>
      <w:pPr>
        <w:spacing w:after="0" w:line="161" w:lineRule="exact"/>
        <w:rPr>
          <w:sz w:val="20"/>
          <w:szCs w:val="20"/>
          <w:color w:val="auto"/>
        </w:rPr>
      </w:pPr>
    </w:p>
    <w:p>
      <w:pPr>
        <w:ind w:right="320" w:firstLine="382"/>
        <w:spacing w:after="0" w:line="277" w:lineRule="auto"/>
        <w:rPr>
          <w:sz w:val="20"/>
          <w:szCs w:val="20"/>
          <w:color w:val="auto"/>
        </w:rPr>
      </w:pPr>
      <w:r>
        <w:rPr>
          <w:rFonts w:ascii="Arial" w:cs="Arial" w:eastAsia="Arial" w:hAnsi="Arial"/>
          <w:sz w:val="18"/>
          <w:szCs w:val="18"/>
          <w:color w:val="auto"/>
        </w:rPr>
        <w:t>The following table presents the changes in the liability related to the sale of future royalties under the Royalty Purchase Agreement with HCR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Liability Related to</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Sale of Future Royalties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Proceeds from sale of future royalties in December 2020</w:t>
            </w:r>
          </w:p>
        </w:tc>
        <w:tc>
          <w:tcPr>
            <w:tcW w:w="3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196,000</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Deferred transaction costs</w:t>
            </w:r>
          </w:p>
        </w:tc>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(3,473)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recognized</w:t>
            </w:r>
          </w:p>
        </w:tc>
        <w:tc>
          <w:tcPr>
            <w:tcW w:w="34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193,298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Zolgensma royalties paid to HCR</w:t>
            </w:r>
          </w:p>
        </w:tc>
        <w:tc>
          <w:tcPr>
            <w:tcW w:w="3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(48,226)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expense recognized</w:t>
            </w:r>
          </w:p>
        </w:tc>
        <w:tc>
          <w:tcPr>
            <w:tcW w:w="3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26,277</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3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171,349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w w:val="96"/>
              </w:rPr>
              <w:t>Current portion of liability related to sale of future royalties</w:t>
            </w:r>
          </w:p>
        </w:tc>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(37,889)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related to sale of future royalties, non-current</w:t>
            </w:r>
          </w:p>
        </w:tc>
        <w:tc>
          <w:tcPr>
            <w:tcW w:w="34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20" w:type="dxa"/>
            <w:vAlign w:val="bottom"/>
            <w:vMerge w:val="restart"/>
          </w:tcPr>
          <w:p>
            <w:pPr>
              <w:jc w:val="right"/>
              <w:ind w:right="2870"/>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80" w:right="8500" w:hanging="372"/>
        <w:spacing w:after="0" w:line="425" w:lineRule="auto"/>
        <w:tabs>
          <w:tab w:leader="none" w:pos="178"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In-licensed Technology</w:t>
      </w:r>
    </w:p>
    <w:p>
      <w:pPr>
        <w:ind w:firstLine="382"/>
        <w:spacing w:after="0" w:line="269" w:lineRule="auto"/>
        <w:rPr>
          <w:sz w:val="20"/>
          <w:szCs w:val="20"/>
          <w:color w:val="auto"/>
        </w:rPr>
      </w:pPr>
      <w:r>
        <w:rPr>
          <w:rFonts w:ascii="Arial" w:cs="Arial" w:eastAsia="Arial" w:hAnsi="Arial"/>
          <w:sz w:val="17"/>
          <w:szCs w:val="17"/>
          <w:color w:val="auto"/>
        </w:rPr>
        <w:t>The Company in-licenses intellectual property from third parties for technology and know-how used in its product candidates and development programs, some of which is further sublicensed to NAV Technology Licensees and collaboration partners. In-licenses may require the Company to make future payments relating to sublicense fees, milestone fees and royalties on future sales of licensed products. Additionally, the Company may be responsible for the cost of the maintenance of the intellectual property as incurred by its licensors. Up-front fees to obtain licensed technology are recorded as research and development expenses if the technology has no alternative future use. Sublicense fees are based on a specified percentage of license fees earned by the Company as a result of sublicensing the technology to third parties and are recorded as cost of revenues. Milestone fees are recorded as cost of revenues if the underlying milestone is achieved by a licensee, or as research and development expense if the underlying milestone is achieved by the Company as a result of the development of its product candidates and the technology has no alternative future use. Royalties due to licensors on sales of licensed products, including sales by NAV Technology Licensees, are recorded as cost of revenues. Patent maintenance costs are recorded as general and administrative expenses.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Please refer to Note 10 for information on licenses granted by the Company and collaboration agreements with third parties.</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The Trustees of the University of Pennsylvania</w:t>
      </w:r>
    </w:p>
    <w:p>
      <w:pPr>
        <w:spacing w:after="0" w:line="11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In February 2009, the Company entered into a license agreement, which has been amended from time to time, with The Trustees of the University of Pennsylvania (together with the University of Pennsylvania, Penn) for exclusive, worldwide rights to certain patents owned by Penn underlying the Company’s NAV Technology Platform, as well as exclusive rights to certain data, results and other information. Pursuant to the license agreement, the Company is obligated to pay Penn royalties on net sales of licensed products and sublicense fees. Additionally, the Company is obligated to reimburse Penn for certain costs incurred related to the maintenance of the licensed patents.</w:t>
      </w:r>
    </w:p>
    <w:p>
      <w:pPr>
        <w:spacing w:after="0" w:line="188" w:lineRule="exact"/>
        <w:rPr>
          <w:sz w:val="20"/>
          <w:szCs w:val="20"/>
          <w:color w:val="auto"/>
        </w:rPr>
      </w:pPr>
    </w:p>
    <w:p>
      <w:pPr>
        <w:ind w:right="40" w:firstLine="382"/>
        <w:spacing w:after="0" w:line="272" w:lineRule="auto"/>
        <w:rPr>
          <w:sz w:val="20"/>
          <w:szCs w:val="20"/>
          <w:color w:val="auto"/>
        </w:rPr>
      </w:pPr>
      <w:r>
        <w:rPr>
          <w:rFonts w:ascii="Arial" w:cs="Arial" w:eastAsia="Arial" w:hAnsi="Arial"/>
          <w:sz w:val="17"/>
          <w:szCs w:val="17"/>
          <w:color w:val="auto"/>
        </w:rPr>
        <w:t>In April 2019, the Company amended its license from Penn to include exclusive license rights to certain patent rights and know-how, including research data and other information, relating to the treatment of late-infantile neuronal ceroid lipofuscinosis type 2 (CLN2) disease. In consideration for the additional licensed rights, and in addition to any consideration owed under the license prior to the amendment, the Company paid Penn an up-front fee and is obligated to pay milestone fees of up to $20.5 million upon the achievement of various development and sales-based milestones and additional royalties on net sales of licensed products for the treatment of CLN2 disease, none of which have been achieved or deemed probable of achievement as of December 31, 2021. Additionally, the amendment modified the percentage of sublicense fees the Company is obligated to pay Penn on amounts received by the Company from third parties for the sublicensing of the licensed rights for the treatment of CLN2 disease.</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Expenses incurred by the Company related to the license from Penn were recorded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26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8,046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FF0FC"/>
          </w:tcPr>
          <w:p>
            <w:pPr>
              <w:spacing w:after="0"/>
              <w:rPr>
                <w:sz w:val="19"/>
                <w:szCs w:val="19"/>
                <w:color w:val="auto"/>
              </w:rPr>
            </w:pPr>
          </w:p>
        </w:tc>
      </w:tr>
      <w:tr>
        <w:trPr>
          <w:trHeight w:val="223"/>
        </w:trPr>
        <w:tc>
          <w:tcPr>
            <w:tcW w:w="3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8,752</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382"/>
        <w:spacing w:after="0" w:line="263" w:lineRule="auto"/>
        <w:rPr>
          <w:sz w:val="20"/>
          <w:szCs w:val="20"/>
          <w:color w:val="auto"/>
        </w:rPr>
      </w:pPr>
      <w:r>
        <w:rPr>
          <w:rFonts w:ascii="Arial" w:cs="Arial" w:eastAsia="Arial" w:hAnsi="Arial"/>
          <w:sz w:val="18"/>
          <w:szCs w:val="18"/>
          <w:color w:val="auto"/>
        </w:rPr>
        <w:t>As of December 31, 2021 and 2020, the Company had recorded $8.2 million and $0.1 million, respectively, in expenses payable to Penn under the license agreement, which are included in accounts payable, accrued expenses and other current liabilities and other liabilities on the consolidated balance sheets.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GlaxoSmithKline LLC</w:t>
      </w:r>
    </w:p>
    <w:p>
      <w:pPr>
        <w:spacing w:after="0" w:line="117" w:lineRule="exact"/>
        <w:rPr>
          <w:sz w:val="20"/>
          <w:szCs w:val="20"/>
          <w:color w:val="auto"/>
        </w:rPr>
      </w:pPr>
    </w:p>
    <w:p>
      <w:pPr>
        <w:ind w:right="140" w:firstLine="382"/>
        <w:spacing w:after="0" w:line="296" w:lineRule="auto"/>
        <w:rPr>
          <w:sz w:val="20"/>
          <w:szCs w:val="20"/>
          <w:color w:val="auto"/>
        </w:rPr>
      </w:pPr>
      <w:r>
        <w:rPr>
          <w:rFonts w:ascii="Arial" w:cs="Arial" w:eastAsia="Arial" w:hAnsi="Arial"/>
          <w:sz w:val="16"/>
          <w:szCs w:val="16"/>
          <w:color w:val="auto"/>
        </w:rPr>
        <w:t>In March 2009, the Company entered into a license agreement, which was amended in April 2009, with GlaxoSmithKline LLC (GSK) for exclusive, worldwide rights to certain patents underlying the Company’s NAV Technology Platform which are owned by Penn and exclusively licensed to GSK. Pursuant to the license agreement, the Company is obligated to pay GSK royalties on net sales of licensed products and sublicense fees. Additionally, the Company is obligated to reimburse GSK for certain costs incurred related to the maintenance of the licensed patents. The Company was also obligated to pay $1.5 million to GSK upon the achievement of various milestones, all of which have been achieved and paid as of December 31,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Expenses incurred by the Company related to the license from GSK were recorded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700" w:type="dxa"/>
            <w:vAlign w:val="bottom"/>
          </w:tcPr>
          <w:p>
            <w:pPr>
              <w:ind w:left="240"/>
              <w:spacing w:after="0"/>
              <w:rPr>
                <w:sz w:val="20"/>
                <w:szCs w:val="20"/>
                <w:color w:val="auto"/>
              </w:rPr>
            </w:pPr>
            <w:r>
              <w:rPr>
                <w:rFonts w:ascii="Arial" w:cs="Arial" w:eastAsia="Arial" w:hAnsi="Arial"/>
                <w:sz w:val="18"/>
                <w:szCs w:val="18"/>
                <w:color w:val="auto"/>
              </w:rPr>
              <w:t>Royalties on net sales of Zolgensma</w:t>
            </w:r>
          </w:p>
        </w:tc>
        <w:tc>
          <w:tcPr>
            <w:tcW w:w="166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43,161</w:t>
            </w:r>
          </w:p>
        </w:tc>
        <w:tc>
          <w:tcPr>
            <w:tcW w:w="4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26,278</w:t>
            </w:r>
          </w:p>
        </w:tc>
        <w:tc>
          <w:tcPr>
            <w:tcW w:w="180" w:type="dxa"/>
            <w:vAlign w:val="bottom"/>
          </w:tcPr>
          <w:p>
            <w:pPr>
              <w:spacing w:after="0"/>
              <w:rPr>
                <w:sz w:val="19"/>
                <w:szCs w:val="19"/>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19"/>
                <w:szCs w:val="19"/>
                <w:color w:val="auto"/>
              </w:rPr>
            </w:pPr>
          </w:p>
        </w:tc>
      </w:tr>
      <w:tr>
        <w:trPr>
          <w:trHeight w:val="230"/>
        </w:trPr>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cost of revenues</w:t>
            </w:r>
          </w:p>
        </w:tc>
        <w:tc>
          <w:tcPr>
            <w:tcW w:w="8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FF0FC"/>
          </w:tcPr>
          <w:p>
            <w:pPr>
              <w:spacing w:after="0"/>
              <w:rPr>
                <w:sz w:val="19"/>
                <w:szCs w:val="19"/>
                <w:color w:val="auto"/>
              </w:rPr>
            </w:pPr>
          </w:p>
        </w:tc>
      </w:tr>
      <w:tr>
        <w:trPr>
          <w:trHeight w:val="223"/>
        </w:trPr>
        <w:tc>
          <w:tcPr>
            <w:tcW w:w="3700" w:type="dxa"/>
            <w:vAlign w:val="bottom"/>
          </w:tcPr>
          <w:p>
            <w:pPr>
              <w:ind w:left="480"/>
              <w:spacing w:after="0"/>
              <w:rPr>
                <w:sz w:val="20"/>
                <w:szCs w:val="20"/>
                <w:color w:val="auto"/>
              </w:rPr>
            </w:pPr>
            <w:r>
              <w:rPr>
                <w:rFonts w:ascii="Arial" w:cs="Arial" w:eastAsia="Arial" w:hAnsi="Arial"/>
                <w:sz w:val="18"/>
                <w:szCs w:val="18"/>
                <w:color w:val="auto"/>
              </w:rPr>
              <w:t>Total cost of revenues</w:t>
            </w: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43,787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8,241</w:t>
            </w:r>
          </w:p>
        </w:tc>
        <w:tc>
          <w:tcPr>
            <w:tcW w:w="10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FF0FC"/>
          </w:tcPr>
          <w:p>
            <w:pPr>
              <w:spacing w:after="0"/>
              <w:rPr>
                <w:sz w:val="19"/>
                <w:szCs w:val="19"/>
                <w:color w:val="auto"/>
              </w:rPr>
            </w:pPr>
          </w:p>
        </w:tc>
      </w:tr>
      <w:tr>
        <w:trPr>
          <w:trHeight w:val="223"/>
        </w:trPr>
        <w:tc>
          <w:tcPr>
            <w:tcW w:w="3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44,676</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1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40" w:firstLine="382"/>
        <w:spacing w:after="0" w:line="263" w:lineRule="auto"/>
        <w:rPr>
          <w:sz w:val="20"/>
          <w:szCs w:val="20"/>
          <w:color w:val="auto"/>
        </w:rPr>
      </w:pPr>
      <w:r>
        <w:rPr>
          <w:rFonts w:ascii="Arial" w:cs="Arial" w:eastAsia="Arial" w:hAnsi="Arial"/>
          <w:sz w:val="18"/>
          <w:szCs w:val="18"/>
          <w:color w:val="auto"/>
        </w:rPr>
        <w:t>As of December 31, 2021 and 2020, the Company had recorded $16.3 million and $13.1 million, respectively, in expenses payable to GSK under the license agreement, which are included in accounts payable, accrued expenses and other current liabilities and other liabilities on the consolidated balance sheets.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Clearside Biomedical, Inc.</w:t>
      </w:r>
    </w:p>
    <w:p>
      <w:pPr>
        <w:spacing w:after="0" w:line="117" w:lineRule="exact"/>
        <w:rPr>
          <w:sz w:val="20"/>
          <w:szCs w:val="20"/>
          <w:color w:val="auto"/>
        </w:rPr>
      </w:pPr>
    </w:p>
    <w:p>
      <w:pPr>
        <w:ind w:right="60" w:firstLine="382"/>
        <w:spacing w:after="0" w:line="253" w:lineRule="auto"/>
        <w:rPr>
          <w:sz w:val="20"/>
          <w:szCs w:val="20"/>
          <w:color w:val="auto"/>
        </w:rPr>
      </w:pPr>
      <w:r>
        <w:rPr>
          <w:rFonts w:ascii="Arial" w:cs="Arial" w:eastAsia="Arial" w:hAnsi="Arial"/>
          <w:sz w:val="18"/>
          <w:szCs w:val="18"/>
          <w:color w:val="auto"/>
        </w:rPr>
        <w:t>In August 2019, the Company entered into an option and license agreement with Clearside Biomedical, Inc. (Clearside) pursuant to which the Company was granted an option to exclusively license the worldwide rights to certain patents related to Clearside’s proprietary, in-office SCS Microinjector™ for the delivery of RGX-314 to the suprachoroidal space to treat wet age-related macular degeneration (wet AMD), diabetic retinopathy (DR) and other diseases. The Company exercised its license option in October 2019, resulting in a payment of $1.6 million to Clearside which was recognized as research and development expense upon exercise. Additionally, the Company is obligated to pay milestone fees of up to $136.0 million upon the achievement of various development and sales-based milestones, as well as royalties on net sales of licensed products using the SCS Microinjector. Clearside is responsible for supplying the SCS Microinjector to the Company to support all preclinical, clinical and commercial needs. From the inception of the agreement through December 31, 2021, the Company had incurred $3.0 million for development milestones achieved, or deemed probable of achievement, under the agreement.</w:t>
      </w:r>
    </w:p>
    <w:p>
      <w:pPr>
        <w:spacing w:after="0" w:line="30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Licenses</w:t>
      </w:r>
    </w:p>
    <w:p>
      <w:pPr>
        <w:spacing w:after="0" w:line="117"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In November 2014, the Company entered into a license agreement, which has been amended from time to time, with Regents of the University of Minnesota (Minnesota), for an exclusive license under Minnesota’s interest in certain patent rights which are co-owned by Minnesota and the Company to commercialize products covered by the licensed patent rights in any country or territory in which a licensed patent has been issued and is unexpired, or a licensed patent application is pending. Pursuant to the license agreement, the Company is obligated to pay Minnesota annual maintenance fees, royalties on net sales, sublicense fees and fees upon the achievement of various milestones. Additionally, the Company is obligated to pay for certain costs incurred related to the maintenance of the licensed patents.</w:t>
      </w:r>
    </w:p>
    <w:p>
      <w:pPr>
        <w:spacing w:after="0" w:line="192"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In August 2018, the Company entered into a license agreement with Emory University (Emory) for an exclusive license under Emory’s interest in certain patent rights which are co-owned by Emory and the Company to commercialize products covered by the licensed patent rights in any country or territory. Pursuant to the license agreement, the Company is obligated to reimburse Emory for patent prosecution and maintenance expenses and pay Emory annual maintenance fees under certain circumstances, royalties on net sales, sublicense fees and fees upon the achievement of various milestones for the first licensed product.</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17" w:lineRule="exact"/>
        <w:rPr>
          <w:sz w:val="20"/>
          <w:szCs w:val="20"/>
          <w:color w:val="auto"/>
        </w:rPr>
      </w:pPr>
    </w:p>
    <w:p>
      <w:pPr>
        <w:ind w:right="20" w:firstLine="382"/>
        <w:spacing w:after="0" w:line="279" w:lineRule="auto"/>
        <w:rPr>
          <w:sz w:val="20"/>
          <w:szCs w:val="20"/>
          <w:color w:val="auto"/>
        </w:rPr>
      </w:pPr>
      <w:r>
        <w:rPr>
          <w:rFonts w:ascii="Arial" w:cs="Arial" w:eastAsia="Arial" w:hAnsi="Arial"/>
          <w:sz w:val="17"/>
          <w:szCs w:val="17"/>
          <w:color w:val="auto"/>
        </w:rPr>
        <w:t>In the normal course of business, the Company enters into agreements with contract research organizations, contract manufacturing organizations and other third 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potential exposure under these agreements is unknown because it involves claims that may be made against the Company in the future. To date, the Company has not paid any claims or been required to defend any action related to its indemnification obligations. As of December 31, 2021 and 2020, the Company did not have any material indemnification claims that were probable or reasonably possible and consequently had not recorded any related liabilities.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Capitalization</w:t>
      </w:r>
    </w:p>
    <w:p>
      <w:pPr>
        <w:spacing w:after="0" w:line="121" w:lineRule="exact"/>
        <w:rPr>
          <w:sz w:val="20"/>
          <w:szCs w:val="20"/>
          <w:color w:val="auto"/>
        </w:rPr>
      </w:pPr>
    </w:p>
    <w:p>
      <w:pPr>
        <w:jc w:val="both"/>
        <w:ind w:right="220" w:firstLine="382"/>
        <w:spacing w:after="0" w:line="263" w:lineRule="auto"/>
        <w:rPr>
          <w:sz w:val="20"/>
          <w:szCs w:val="20"/>
          <w:color w:val="auto"/>
        </w:rPr>
      </w:pPr>
      <w:r>
        <w:rPr>
          <w:rFonts w:ascii="Arial" w:cs="Arial" w:eastAsia="Arial" w:hAnsi="Arial"/>
          <w:sz w:val="18"/>
          <w:szCs w:val="18"/>
          <w:color w:val="auto"/>
        </w:rPr>
        <w:t>As of December 31, 2021 and 2020, the authorized capital stock of the Company included 100,000,000 shares of common stock, par value $0.0001 per share, and 10,000,000 shares of preferred stock, par value $0.0001 per share. The Company’s restated certificate of incorporation and bylaws contain the rights, preferences and privileges of the Company’s stockholders and their respective shares.</w:t>
      </w:r>
    </w:p>
    <w:p>
      <w:pPr>
        <w:spacing w:after="0" w:line="184"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In January 2021, the Company completed a public offering of 4,899,000 shares of its common stock (inclusive of 639,000 shares pursuant to the full exercise by the underwriters of their option to purchase additional shares) at a price of $47.00 per share. The aggregate net proceeds received by the Company from the offering, inclusive of the underwriters’ option exercise, were $216.1 million, net of underwriting discounts and commissions and offering expenses payable by the Company.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Shares of common stock reserved for future issuance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1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90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Reserved for issuance under equity incentive plans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9,755</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8,659</w:t>
            </w:r>
          </w:p>
        </w:tc>
        <w:tc>
          <w:tcPr>
            <w:tcW w:w="80" w:type="dxa"/>
            <w:vAlign w:val="bottom"/>
            <w:shd w:val="clear" w:color="auto" w:fill="CFF0FC"/>
          </w:tcPr>
          <w:p>
            <w:pPr>
              <w:spacing w:after="0"/>
              <w:rPr>
                <w:sz w:val="19"/>
                <w:szCs w:val="19"/>
                <w:color w:val="auto"/>
              </w:rPr>
            </w:pPr>
          </w:p>
        </w:tc>
      </w:tr>
      <w:tr>
        <w:trPr>
          <w:trHeight w:val="229"/>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Reserved for issuance under employee stock purchase plan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80" w:type="dxa"/>
            <w:vAlign w:val="bottom"/>
            <w:tcBorders>
              <w:bottom w:val="single" w:sz="8" w:color="CFF0FC"/>
            </w:tcBorders>
          </w:tcPr>
          <w:p>
            <w:pPr>
              <w:spacing w:after="0"/>
              <w:rPr>
                <w:sz w:val="19"/>
                <w:szCs w:val="19"/>
                <w:color w:val="auto"/>
              </w:rPr>
            </w:pPr>
          </w:p>
        </w:tc>
      </w:tr>
      <w:tr>
        <w:trPr>
          <w:trHeight w:val="223"/>
        </w:trPr>
        <w:tc>
          <w:tcPr>
            <w:tcW w:w="59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10,524</w:t>
            </w:r>
          </w:p>
        </w:tc>
        <w:tc>
          <w:tcPr>
            <w:tcW w:w="2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Collaboration Agreements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Please refer to Note 8 for information on license agreements for technology in-licensed by the Company from third parties.</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License and Royalty Revenue</w:t>
      </w:r>
    </w:p>
    <w:p>
      <w:pPr>
        <w:spacing w:after="0" w:line="117"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As of December 31, 2021, the Company’s NAV Technology Platform was being applied by NAV Technology Licensees in one commercially available product, Zolgensma, and in the development of a number of licensed products. Additionally, the Company has licensed intellectual property rights to collaborators for the joint development of certain product candidates. Consideration to the Company under its license agreements may include: (i) up-front and annual fees, (ii) milestone payments based on the achievement of certain development and sales-based milestones, (iii) sublicense fees, (iv) royalties on sales of licensed products and (v) other consideration payable upon optional goods and services purchased by licensees. Sublicense fees vary by license and range from a mid-single digit percentage to a low-double digit percentage of license fees received by licensees as a result of sublicenses. Royalties on net sales of commercialized products vary by license and range from a mid-single digit percentage to a low double-digit percentage of net sales by licensees.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License and royalty revenue consisted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AbbVie collaboration and license agreement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370,000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Royalties on net sales of Zolgensma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94,978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61,631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20,829</w:t>
            </w: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Achievement of sales-based milestone for Zolgensma</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license and royalty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12,936</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14,404</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royalty revenue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470,347</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154,567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82"/>
        <w:spacing w:after="0" w:line="263" w:lineRule="auto"/>
        <w:rPr>
          <w:sz w:val="20"/>
          <w:szCs w:val="20"/>
          <w:color w:val="auto"/>
        </w:rPr>
      </w:pPr>
      <w:r>
        <w:rPr>
          <w:rFonts w:ascii="Arial" w:cs="Arial" w:eastAsia="Arial" w:hAnsi="Arial"/>
          <w:sz w:val="18"/>
          <w:szCs w:val="18"/>
          <w:color w:val="auto"/>
        </w:rPr>
        <w:t>Development milestone payments are evaluated each reporting period and are only included in the transaction price of each license and recognized as license revenue to the extent the milestones are considered probable of achievement. Sales-based milestones are excluded from the transaction price of each license agreement and recognized as royalty revenue in the period of achievement. As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of December 31, 2021, the Company’s license agreements, excluding additional licenses that could be granted upon the exercise of options by licensees, contained unachieved milestones which could result in aggregate milestone payments to the Company of up to $1.58 billion, including (i) $538.3 million upon the commencement of various stages of clinical trials, (ii) $21.0 million upon the submission of regulatory approval filings, (iii) $141.0 million upon the approval of commercial products by regulatory agencies and (iv) $877.0 million upon the achievement of specified sales targets for licensed products, including milestones payable upon first commercial sales of licensed products. To the extent the milestone payments are realized by the Company, the Company will be obligated to pay sublicense fees to licensors based on a specified percentage of the fees earned by the Company. The achievement of these milestones is highly dependent on the successful development and commercialization of licensed products and it is at least reasonably possible that some or all of the milestone fees will not be realized by the Company.</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Changes in Accounts Receivable, Contract Assets and Deferred Revenue</w:t>
      </w:r>
    </w:p>
    <w:p>
      <w:pPr>
        <w:spacing w:after="0" w:line="117" w:lineRule="exact"/>
        <w:rPr>
          <w:sz w:val="20"/>
          <w:szCs w:val="20"/>
          <w:color w:val="auto"/>
        </w:rPr>
      </w:pPr>
    </w:p>
    <w:p>
      <w:pPr>
        <w:ind w:right="100" w:firstLine="382"/>
        <w:spacing w:after="0" w:line="277" w:lineRule="auto"/>
        <w:rPr>
          <w:sz w:val="20"/>
          <w:szCs w:val="20"/>
          <w:color w:val="auto"/>
        </w:rPr>
      </w:pPr>
      <w:r>
        <w:rPr>
          <w:rFonts w:ascii="Arial" w:cs="Arial" w:eastAsia="Arial" w:hAnsi="Arial"/>
          <w:sz w:val="18"/>
          <w:szCs w:val="18"/>
          <w:color w:val="auto"/>
        </w:rPr>
        <w:t>The following table presents changes in the balances of the Company’s net accounts receivable, contract assets and deferred revenue, as well as other information regarding revenue recognized, during the periods presented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5"/>
              </w:rPr>
              <w:t>Years Ended December 31,</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7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 current and non-current:</w:t>
            </w: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Balance, beginning of period</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46,266</w:t>
            </w:r>
          </w:p>
        </w:tc>
        <w:tc>
          <w:tcPr>
            <w:tcW w:w="140" w:type="dxa"/>
            <w:vAlign w:val="bottom"/>
          </w:tcPr>
          <w:p>
            <w:pPr>
              <w:spacing w:after="0"/>
              <w:rPr>
                <w:sz w:val="19"/>
                <w:szCs w:val="19"/>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42,303</w:t>
            </w:r>
          </w:p>
        </w:tc>
        <w:tc>
          <w:tcPr>
            <w:tcW w:w="2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31,599</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w:t>
            </w: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472,347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158,682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39,203</w:t>
            </w: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Deductions</w:t>
            </w:r>
          </w:p>
        </w:tc>
        <w:tc>
          <w:tcPr>
            <w:tcW w:w="9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(483,912)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(154,719)</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(28,499)</w:t>
            </w:r>
          </w:p>
        </w:tc>
      </w:tr>
      <w:tr>
        <w:trPr>
          <w:trHeight w:val="223"/>
        </w:trPr>
        <w:tc>
          <w:tcPr>
            <w:tcW w:w="5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end of period</w:t>
            </w:r>
          </w:p>
        </w:tc>
        <w:tc>
          <w:tcPr>
            <w:tcW w:w="960" w:type="dxa"/>
            <w:vAlign w:val="bottom"/>
            <w:tcBorders>
              <w:top w:val="single" w:sz="8" w:color="auto"/>
              <w:bottom w:val="single" w:sz="8" w:color="auto"/>
            </w:tcBorders>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Balance, beginning of period</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9"/>
                <w:szCs w:val="19"/>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w:t>
            </w: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Deductions</w:t>
            </w:r>
          </w:p>
        </w:tc>
        <w:tc>
          <w:tcPr>
            <w:tcW w:w="9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(1,750)</w:t>
            </w:r>
          </w:p>
        </w:tc>
      </w:tr>
      <w:tr>
        <w:trPr>
          <w:trHeight w:val="223"/>
        </w:trPr>
        <w:tc>
          <w:tcPr>
            <w:tcW w:w="5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end of period</w:t>
            </w:r>
          </w:p>
        </w:tc>
        <w:tc>
          <w:tcPr>
            <w:tcW w:w="960" w:type="dxa"/>
            <w:vAlign w:val="bottom"/>
            <w:tcBorders>
              <w:top w:val="single" w:sz="8" w:color="auto"/>
              <w:bottom w:val="single" w:sz="8" w:color="auto"/>
            </w:tcBorders>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 and non-current:</w:t>
            </w: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Balance, beginning of period</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4,232</w:t>
            </w:r>
          </w:p>
        </w:tc>
        <w:tc>
          <w:tcPr>
            <w:tcW w:w="140" w:type="dxa"/>
            <w:vAlign w:val="bottom"/>
          </w:tcPr>
          <w:p>
            <w:pPr>
              <w:spacing w:after="0"/>
              <w:rPr>
                <w:sz w:val="19"/>
                <w:szCs w:val="19"/>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3,333</w:t>
            </w:r>
          </w:p>
        </w:tc>
        <w:tc>
          <w:tcPr>
            <w:tcW w:w="2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Deductions</w:t>
            </w:r>
          </w:p>
        </w:tc>
        <w:tc>
          <w:tcPr>
            <w:tcW w:w="9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r>
      <w:tr>
        <w:trPr>
          <w:trHeight w:val="223"/>
        </w:trPr>
        <w:tc>
          <w:tcPr>
            <w:tcW w:w="5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Balance, end of period</w:t>
            </w:r>
          </w:p>
        </w:tc>
        <w:tc>
          <w:tcPr>
            <w:tcW w:w="960" w:type="dxa"/>
            <w:vAlign w:val="bottom"/>
            <w:tcBorders>
              <w:top w:val="single" w:sz="8" w:color="auto"/>
              <w:bottom w:val="single" w:sz="8" w:color="auto"/>
            </w:tcBorders>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during the period from:</w:t>
            </w: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Pr>
          <w:p>
            <w:pPr>
              <w:ind w:left="260"/>
              <w:spacing w:after="0"/>
              <w:rPr>
                <w:sz w:val="20"/>
                <w:szCs w:val="20"/>
                <w:color w:val="auto"/>
              </w:rPr>
            </w:pPr>
            <w:r>
              <w:rPr>
                <w:rFonts w:ascii="Arial" w:cs="Arial" w:eastAsia="Arial" w:hAnsi="Arial"/>
                <w:sz w:val="18"/>
                <w:szCs w:val="18"/>
                <w:color w:val="auto"/>
              </w:rPr>
              <w:t>Amounts included in deferred revenue at beginning of period</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9"/>
                <w:szCs w:val="19"/>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Performance obligations satisfied in previous periods</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98,575</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146,772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26,689</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Additions to accounts receivable during the periods presented consisted primarily of royalties on net sales of Zolgensma, new licenses granted by the Company, the achievement of milestones by licensees, interest income recognized and decreases in the allowance for credit losses during the period. Deductions to accounts receivable during the periods presented consisted primarily of amounts collected from licensees and increases in the allowance for credit losses during the period. Additions to accounts receivable during the year ended December 31, 2021 include $370.0 million billed to AbbVie Global Enterprises Ltd. under the collaboration and license agreement which became effective in November 2021. Additions to accounts receivable during the year ended December 31, 2020 include $80.0 million billed to Novartis Gene Therapies upon the achievement of a sales-based milestone for net sales of Zolgensma in the third quarter of 2020.</w:t>
      </w:r>
    </w:p>
    <w:p>
      <w:pPr>
        <w:spacing w:after="0" w:line="195"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Additions to contract assets during the periods presented consisted of development milestones deemed probable of achievement by licensees during the period and revenue recognized from research and development services performed by the Company for which payment by the licensee is not unconditional. Deductions to contract assets during the periods presented consisted of the achievement of development milestones by licensees and billing of the associated milestone payments by the Company. Contract assets as of December 31, 2021 and 2020 are included in other current assets on the consolidated balance sheets.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As of December 31, 2021, the Company had recorded deferred revenue of $3.3 million which represents consideration received from licensees for performance obligations that have not yet been satisfied by the Company. Unsatisfied performance obligations consisted of (i) options granted to licensees that provide material rights to the licensee to acquire additional licenses from the Company, which will be satisfied upon the exercise or expiration of the options and (ii) research and development services to be performed by the Company related to licensed products, which will be satisfied as the research and development services are performed.</w:t>
      </w:r>
    </w:p>
    <w:p>
      <w:pPr>
        <w:spacing w:after="0" w:line="188" w:lineRule="exact"/>
        <w:rPr>
          <w:sz w:val="20"/>
          <w:szCs w:val="20"/>
          <w:color w:val="auto"/>
        </w:rPr>
      </w:pPr>
    </w:p>
    <w:p>
      <w:pPr>
        <w:ind w:right="480" w:firstLine="382"/>
        <w:spacing w:after="0" w:line="279" w:lineRule="auto"/>
        <w:rPr>
          <w:sz w:val="20"/>
          <w:szCs w:val="20"/>
          <w:color w:val="auto"/>
        </w:rPr>
      </w:pPr>
      <w:r>
        <w:rPr>
          <w:rFonts w:ascii="Arial" w:cs="Arial" w:eastAsia="Arial" w:hAnsi="Arial"/>
          <w:sz w:val="17"/>
          <w:szCs w:val="17"/>
          <w:color w:val="auto"/>
        </w:rPr>
        <w:t>Revenue recognized from performance obligations satisfied in previous periods was primarily attributable to Zolgensma royalty revenues, the achievement of a sales-based milestone for net sales of Zolgensma, sublicense fees earned from licensees and changes in the transaction prices of the Company’s license agreements. Changes in transaction prices were primarily attributable to development milestones achieved or deemed probable of achievement during the periods, which were previously not considered probable of achievement.</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Accounts Receivable, Contract Assets and the Allowance for Credit Losses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w w:val="98"/>
              </w:rPr>
              <w:t>As of December 31,</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22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Current accounts receivable:</w:t>
            </w:r>
          </w:p>
        </w:tc>
        <w:tc>
          <w:tcPr>
            <w:tcW w:w="10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Billed to customers</w:t>
            </w:r>
          </w:p>
        </w:tc>
        <w:tc>
          <w:tcPr>
            <w:tcW w:w="216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9"/>
                <w:szCs w:val="19"/>
                <w:color w:val="auto"/>
              </w:rPr>
            </w:pPr>
          </w:p>
        </w:tc>
        <w:tc>
          <w:tcPr>
            <w:tcW w:w="600" w:type="dxa"/>
            <w:vAlign w:val="bottom"/>
            <w:gridSpan w:val="2"/>
          </w:tcPr>
          <w:p>
            <w:pPr>
              <w:jc w:val="right"/>
              <w:ind w:right="427"/>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30,573</w:t>
            </w:r>
          </w:p>
        </w:tc>
        <w:tc>
          <w:tcPr>
            <w:tcW w:w="80" w:type="dxa"/>
            <w:vAlign w:val="bottom"/>
          </w:tcPr>
          <w:p>
            <w:pPr>
              <w:spacing w:after="0"/>
              <w:rPr>
                <w:sz w:val="19"/>
                <w:szCs w:val="19"/>
                <w:color w:val="auto"/>
              </w:rPr>
            </w:pPr>
          </w:p>
        </w:tc>
      </w:tr>
      <w:tr>
        <w:trPr>
          <w:trHeight w:val="229"/>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Unbilled</w:t>
            </w:r>
          </w:p>
        </w:tc>
        <w:tc>
          <w:tcPr>
            <w:tcW w:w="10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20,104</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Allowance for credit losses</w:t>
            </w: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(7,678)</w:t>
            </w:r>
          </w:p>
        </w:tc>
      </w:tr>
      <w:tr>
        <w:trPr>
          <w:trHeight w:val="223"/>
        </w:trPr>
        <w:tc>
          <w:tcPr>
            <w:tcW w:w="42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Current accounts receivable, net</w:t>
            </w:r>
          </w:p>
        </w:tc>
        <w:tc>
          <w:tcPr>
            <w:tcW w:w="10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Non-current accounts receivable:</w:t>
            </w: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Unbilled</w:t>
            </w:r>
          </w:p>
        </w:tc>
        <w:tc>
          <w:tcPr>
            <w:tcW w:w="10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3,267</w:t>
            </w:r>
          </w:p>
        </w:tc>
        <w:tc>
          <w:tcPr>
            <w:tcW w:w="80" w:type="dxa"/>
            <w:vAlign w:val="bottom"/>
            <w:shd w:val="clear" w:color="auto" w:fill="CFF0FC"/>
          </w:tcPr>
          <w:p>
            <w:pPr>
              <w:spacing w:after="0"/>
              <w:rPr>
                <w:sz w:val="19"/>
                <w:szCs w:val="19"/>
                <w:color w:val="auto"/>
              </w:rPr>
            </w:pPr>
          </w:p>
        </w:tc>
      </w:tr>
      <w:tr>
        <w:trPr>
          <w:trHeight w:val="229"/>
        </w:trPr>
        <w:tc>
          <w:tcPr>
            <w:tcW w:w="4220" w:type="dxa"/>
            <w:vAlign w:val="bottom"/>
          </w:tcPr>
          <w:p>
            <w:pPr>
              <w:ind w:left="240"/>
              <w:spacing w:after="0"/>
              <w:rPr>
                <w:sz w:val="20"/>
                <w:szCs w:val="20"/>
                <w:color w:val="auto"/>
              </w:rPr>
            </w:pPr>
            <w:r>
              <w:rPr>
                <w:rFonts w:ascii="Arial" w:cs="Arial" w:eastAsia="Arial" w:hAnsi="Arial"/>
                <w:sz w:val="18"/>
                <w:szCs w:val="18"/>
                <w:color w:val="auto"/>
              </w:rPr>
              <w:t>Allowance for credit losses</w:t>
            </w: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(3,758)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Non-current accounts receivable, net</w:t>
            </w:r>
          </w:p>
        </w:tc>
        <w:tc>
          <w:tcPr>
            <w:tcW w:w="10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220" w:type="dxa"/>
            <w:vAlign w:val="bottom"/>
          </w:tcPr>
          <w:p>
            <w:pPr>
              <w:ind w:left="480"/>
              <w:spacing w:after="0"/>
              <w:rPr>
                <w:sz w:val="20"/>
                <w:szCs w:val="20"/>
                <w:color w:val="auto"/>
              </w:rPr>
            </w:pPr>
            <w:r>
              <w:rPr>
                <w:rFonts w:ascii="Arial" w:cs="Arial" w:eastAsia="Arial" w:hAnsi="Arial"/>
                <w:sz w:val="18"/>
                <w:szCs w:val="18"/>
                <w:color w:val="auto"/>
              </w:rPr>
              <w:t>Total accounts receivable, net</w:t>
            </w:r>
          </w:p>
        </w:tc>
        <w:tc>
          <w:tcPr>
            <w:tcW w:w="1080" w:type="dxa"/>
            <w:vAlign w:val="bottom"/>
          </w:tcPr>
          <w:p>
            <w:pPr>
              <w:spacing w:after="0"/>
              <w:rPr>
                <w:sz w:val="19"/>
                <w:szCs w:val="19"/>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46,266</w:t>
            </w:r>
          </w:p>
        </w:tc>
        <w:tc>
          <w:tcPr>
            <w:tcW w:w="8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changes in the allowance for credit losses related to accounts receivable and contract assets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(in thousands):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6"/>
          </w:tcPr>
          <w:p>
            <w:pPr>
              <w:ind w:left="780"/>
              <w:spacing w:after="0"/>
              <w:rPr>
                <w:sz w:val="20"/>
                <w:szCs w:val="20"/>
                <w:color w:val="auto"/>
              </w:rPr>
            </w:pPr>
            <w:r>
              <w:rPr>
                <w:rFonts w:ascii="Arial" w:cs="Arial" w:eastAsia="Arial" w:hAnsi="Arial"/>
                <w:sz w:val="14"/>
                <w:szCs w:val="14"/>
                <w:b w:val="1"/>
                <w:bCs w:val="1"/>
                <w:color w:val="auto"/>
              </w:rPr>
              <w:t>Allowance for Credit Losses</w:t>
            </w:r>
          </w:p>
        </w:tc>
      </w:tr>
      <w:tr>
        <w:trPr>
          <w:trHeight w:val="155"/>
        </w:trPr>
        <w:tc>
          <w:tcPr>
            <w:tcW w:w="4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3"/>
              </w:rPr>
              <w:t>Accounts Receivable</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Contract Assets</w:t>
            </w:r>
          </w:p>
        </w:tc>
        <w:tc>
          <w:tcPr>
            <w:tcW w:w="80" w:type="dxa"/>
            <w:vAlign w:val="bottom"/>
          </w:tcPr>
          <w:p>
            <w:pPr>
              <w:spacing w:after="0"/>
              <w:rPr>
                <w:sz w:val="13"/>
                <w:szCs w:val="13"/>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Provision for credit losses (recoveries)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Write-offs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credit losses (recoveries)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Changes in present value discount of receivables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(1,243)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Write-offs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82"/>
        <w:spacing w:after="0" w:line="296" w:lineRule="auto"/>
        <w:rPr>
          <w:sz w:val="20"/>
          <w:szCs w:val="20"/>
          <w:color w:val="auto"/>
        </w:rPr>
      </w:pPr>
      <w:r>
        <w:rPr>
          <w:rFonts w:ascii="Arial" w:cs="Arial" w:eastAsia="Arial" w:hAnsi="Arial"/>
          <w:sz w:val="16"/>
          <w:szCs w:val="16"/>
          <w:color w:val="auto"/>
        </w:rPr>
        <w:t>The Company’s allowance for credit losses as of December 31, 2021 and 2020 was related solely to accounts receivable from Abeona. Please refer to the section below, Abeona Therapeutics Inc., for further information regarding amounts due from Abeona and the associated allowance for credit losses. The Company’s provision for credit losses (recoveries) for the years ended December 31, 2021 and 2020 was $(2.6) million and $7.7 million, respectively, and was related solely to changes in estimates regarding the collectability of the accounts receivable due from Abeona. No allowance for credit losses was recorded as of December 31, 2019, and no provision for credit losses (recoveries) was recorded for the year ended December 31, 2019.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Novartis Gene Therapies, Inc.</w:t>
      </w:r>
    </w:p>
    <w:p>
      <w:pPr>
        <w:spacing w:after="0" w:line="117" w:lineRule="exact"/>
        <w:rPr>
          <w:sz w:val="20"/>
          <w:szCs w:val="20"/>
          <w:color w:val="auto"/>
        </w:rPr>
      </w:pPr>
    </w:p>
    <w:p>
      <w:pPr>
        <w:ind w:right="80" w:firstLine="382"/>
        <w:spacing w:after="0" w:line="311" w:lineRule="auto"/>
        <w:rPr>
          <w:sz w:val="20"/>
          <w:szCs w:val="20"/>
          <w:color w:val="auto"/>
        </w:rPr>
      </w:pPr>
      <w:r>
        <w:rPr>
          <w:rFonts w:ascii="Arial" w:cs="Arial" w:eastAsia="Arial" w:hAnsi="Arial"/>
          <w:sz w:val="16"/>
          <w:szCs w:val="16"/>
          <w:color w:val="auto"/>
        </w:rPr>
        <w:t xml:space="preserve">In March 2014, the Company entered into an exclusive license agreement (as amended, the March 2014 License) with Novartis Gene Therapies (formerly AveXis, Inc.). Under the March 2014 License, the Company granted Novartis Gene Therapies an exclusive, worldwide commercial license, with rights to sublicense, to the NAV Technology Platform, as well as other certain rights, for the treatment of SMA in humans by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therapy.</w:t>
      </w:r>
    </w:p>
    <w:p>
      <w:pPr>
        <w:spacing w:after="0" w:line="149" w:lineRule="exact"/>
        <w:rPr>
          <w:sz w:val="20"/>
          <w:szCs w:val="20"/>
          <w:color w:val="auto"/>
        </w:rPr>
      </w:pPr>
    </w:p>
    <w:p>
      <w:pPr>
        <w:ind w:right="140" w:firstLine="382"/>
        <w:spacing w:after="0" w:line="270" w:lineRule="auto"/>
        <w:rPr>
          <w:sz w:val="20"/>
          <w:szCs w:val="20"/>
          <w:color w:val="auto"/>
        </w:rPr>
      </w:pPr>
      <w:r>
        <w:rPr>
          <w:rFonts w:ascii="Arial" w:cs="Arial" w:eastAsia="Arial" w:hAnsi="Arial"/>
          <w:sz w:val="17"/>
          <w:szCs w:val="17"/>
          <w:color w:val="auto"/>
        </w:rPr>
        <w:t>In consideration for the rights granted under the license, Novartis Gene Therapies paid the Company (i) an up-front fee of $2.0 million upon the execution of the agreement in 2014, (ii) license fees totaling $180.0 million upon the amendment of the agreement in January 2018 and the subsequent acquisition of AveXis, Inc. (now Novartis Gene Therapies) by Novartis in May 2018, (iii) total cumulative payments of $12.3 million upon the achievement of various development milestones, and (iv) a sales-based milestone payment of $80.0 million upon the achievement of $1.0 billion in cumulative net sales of Zolgensma. In addition to the consideration above, Novartis Gene Therapies is obligated to pay to the Company fixed annual fees, royalties on net sales of licensed products and a percentage of any sublicense fees received by Novartis Gene Therapies from sublicensees for the licensed intellectual property rights. Royalties are payable by Novartis Gene Therapies at a mid-single to low double-digit percentage of net sales of licensed products using the NAV AAV9 vector, and a low double-digit percentage of net sales of licensed products using a licensed vector other than NAV AAV9, and are subject to reduction in specified circumstances.</w:t>
      </w:r>
    </w:p>
    <w:p>
      <w:pPr>
        <w:spacing w:after="0" w:line="181"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Novartis Gene Therapies launched commercial sales of Zolgensma, a licensed product under the March 2014 License, in the second quarter of 2019, upon which the Company began recognizing royalty revenue on net sales of the licensed product. Pursuant to the license agreement, Novartis Gene Therapies was obligated to pay a sales-based milestone fee of $80.0 million to the Company upon the achievement of $1.0 billion in cumulative net sales of licensed products. Novartis Gene Therapies achieved cumulative net sales of Zolgensma of $1.0 billion in the third quarter of 2020, upon which the Company recognized revenue of $80.0 million related to the sales-based milestone fee. Additionally, the Company recognized license revenue of $3.5 million and $3.5 million for the years ended December 31, 2020 and 2019, respectively, related to development milestones achieved during the periods which were previously considered not probable of achievement. As of December 31, 2020, all development and sales-based milestones under the March 2014 License had been achieved and associated milestone payments had been received from Novartis Gene Therapies.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recognized the following amounts under the March 2014 License with Novartis Gene Therapies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7"/>
              </w:rPr>
              <w:t>Years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52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Royalties on net sales of Zolgensma</w:t>
            </w:r>
          </w:p>
        </w:tc>
        <w:tc>
          <w:tcPr>
            <w:tcW w:w="6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94,978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20,829</w:t>
            </w:r>
          </w:p>
        </w:tc>
        <w:tc>
          <w:tcPr>
            <w:tcW w:w="12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Achievement of sales-based milestone for Zolgensma</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license revenue</w:t>
            </w:r>
          </w:p>
        </w:tc>
        <w:tc>
          <w:tcPr>
            <w:tcW w:w="6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FF0FC"/>
          </w:tcPr>
          <w:p>
            <w:pPr>
              <w:spacing w:after="0"/>
              <w:rPr>
                <w:sz w:val="19"/>
                <w:szCs w:val="19"/>
                <w:color w:val="auto"/>
              </w:rPr>
            </w:pPr>
          </w:p>
        </w:tc>
      </w:tr>
      <w:tr>
        <w:trPr>
          <w:trHeight w:val="263"/>
        </w:trPr>
        <w:tc>
          <w:tcPr>
            <w:tcW w:w="4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license and royalty revenue</w:t>
            </w:r>
          </w:p>
        </w:tc>
        <w:tc>
          <w:tcPr>
            <w:tcW w:w="64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94,978</w:t>
            </w:r>
          </w:p>
        </w:tc>
        <w:tc>
          <w:tcPr>
            <w:tcW w:w="2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145,131</w:t>
            </w: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24,329</w:t>
            </w:r>
          </w:p>
        </w:tc>
        <w:tc>
          <w:tcPr>
            <w:tcW w:w="120" w:type="dxa"/>
            <w:vAlign w:val="bottom"/>
            <w:tcBorders>
              <w:bottom w:val="single" w:sz="8" w:color="CFF0FC"/>
            </w:tcBorders>
          </w:tcPr>
          <w:p>
            <w:pPr>
              <w:spacing w:after="0"/>
              <w:rPr>
                <w:sz w:val="22"/>
                <w:szCs w:val="22"/>
                <w:color w:val="auto"/>
              </w:rPr>
            </w:pPr>
          </w:p>
        </w:tc>
      </w:tr>
      <w:tr>
        <w:trPr>
          <w:trHeight w:val="210"/>
        </w:trPr>
        <w:tc>
          <w:tcPr>
            <w:tcW w:w="45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Interest income from licensing</w:t>
            </w:r>
          </w:p>
        </w:tc>
        <w:tc>
          <w:tcPr>
            <w:tcW w:w="154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382"/>
        <w:spacing w:after="0" w:line="259" w:lineRule="auto"/>
        <w:rPr>
          <w:sz w:val="20"/>
          <w:szCs w:val="20"/>
          <w:color w:val="auto"/>
        </w:rPr>
      </w:pPr>
      <w:r>
        <w:rPr>
          <w:rFonts w:ascii="Arial" w:cs="Arial" w:eastAsia="Arial" w:hAnsi="Arial"/>
          <w:sz w:val="18"/>
          <w:szCs w:val="18"/>
          <w:color w:val="auto"/>
        </w:rPr>
        <w:t>As of December 31, 2021 and 2020, the Company had recorded total accounts receivable of $26.6 million and $19.6 million, respectively, from Novartis Gene Therapies under the March 2014 License, which consisted primarily of Zolgensma royalties receivable. Zolgensma royalties receivable recorded as of December 31, 2021 included $12.8 million expected to be paid to HCR in accordance with the Royalty Purchase Agreement discussed in Note 7.</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Abeona Therapeutics Inc.</w:t>
      </w:r>
    </w:p>
    <w:p>
      <w:pPr>
        <w:spacing w:after="0" w:line="117"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In November 2018, the Company entered into a license agreement with Abeona (as amended, the November 2018 License) for the treatment of various diseases using the NAV Technology Platform. Pursuant to the November 2018 License, Abeona was required to pay a license fee of $8.0 million to the Company no later than April 1, 2020. Abeona failed to make this payment, and in April 2020, the Company delivered to Abeona a notice of its breach of the license agreement and written demand for payment. Upon expiration of the applicable cure period in May 2020, the license agreement terminated. As a result of the termination, Abeona was required to pay an additional $20.0 million license fee to the Company within 15 days of the termination date, which otherwise would have been due to the Company in November 2020. Unpaid balances due under the November 2018 License accrue interest at 1.5% per month.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382"/>
        <w:spacing w:after="0" w:line="254" w:lineRule="auto"/>
        <w:rPr>
          <w:sz w:val="20"/>
          <w:szCs w:val="20"/>
          <w:color w:val="auto"/>
        </w:rPr>
      </w:pPr>
      <w:r>
        <w:rPr>
          <w:rFonts w:ascii="Arial" w:cs="Arial" w:eastAsia="Arial" w:hAnsi="Arial"/>
          <w:sz w:val="18"/>
          <w:szCs w:val="18"/>
          <w:color w:val="auto"/>
        </w:rPr>
        <w:t>In May 2020, after the termination of the November 2018 License, Abeona filed a claim in arbitration alleging that the Company had breached certain responsibilities to communicate with Abeona regarding the Company’s prosecution of licensed patents under the November 2018 License. The Company disputed Abeona’s claim and filed a counterclaim in arbitration demanding payment of the $28.0 million of unpaid fees from Abeona, plus accrued interest. A binding arbitration was held in March 2021 and the arbitration tribunal issued its ruling in July 2021, which denied Abeona’s claim and upheld the Company’s counterclaim. The arbitration tribunal’s ruling, which was subsequently amended to reflect a minor adjustment in the computation of accrued interest, awarded the Company a total of $33.6 million, which consisted of $28.0 million in damages and $5.6 million in accrued interest payable to the Company by Abeona.</w:t>
      </w:r>
    </w:p>
    <w:p>
      <w:pPr>
        <w:spacing w:after="0" w:line="195" w:lineRule="exact"/>
        <w:rPr>
          <w:sz w:val="20"/>
          <w:szCs w:val="20"/>
          <w:color w:val="auto"/>
        </w:rPr>
      </w:pPr>
    </w:p>
    <w:p>
      <w:pPr>
        <w:ind w:right="100" w:firstLine="382"/>
        <w:spacing w:after="0" w:line="272" w:lineRule="auto"/>
        <w:rPr>
          <w:sz w:val="20"/>
          <w:szCs w:val="20"/>
          <w:color w:val="auto"/>
        </w:rPr>
      </w:pPr>
      <w:r>
        <w:rPr>
          <w:rFonts w:ascii="Arial" w:cs="Arial" w:eastAsia="Arial" w:hAnsi="Arial"/>
          <w:sz w:val="17"/>
          <w:szCs w:val="17"/>
          <w:color w:val="auto"/>
        </w:rPr>
        <w:t>Subsequent to the arbitration tribunal’s ruling in July 2021, Abeona filed an additional claim in a second arbitration to enforce a purported settlement relating to the unpaid fees, which the Company disputed. In November 2021, the Company and Abeona entered into a settlement agreement and mutual release (the Settlement Agreement) to resolve all arbitration and legal proceedings and mutually release each party from any and all claims under the November 2018 License. Pursuant to the Settlement Agreement, Abeona will pay the Company a total of $30.0 million as follows: (i) $20.0 million which was paid in November 2021, (ii) $5.0 million payable in November 2022, which is fully secured by an irrevocable standby letter of credit issued to the Company by a reputable U.S. financial institution, and (iii) $5.0 million payable on the earlier of the third anniversary of the Settlement Agreement in November 2024 or the closing of a specified type of transaction by Abeona.</w:t>
      </w:r>
    </w:p>
    <w:p>
      <w:pPr>
        <w:spacing w:after="0" w:line="177"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As of December 31, 2020, the Company had recorded gross accounts receivable of $30.1 million from Abeona under the November 2018 License, which consisted of the $8.0 million fee due in April 2020, the $20.0 million fee due within 15 days of the termination of the license agreement in May 2020 and accrued interest on the outstanding balances. As a result of its assessment of credit risk, the Company recorded an allowance for credit loss of $7.7 million as of December 31, 2020 related to the accounts receivable due from Abeona. As of December 31, 2020, the Company had recognized interest income from licensing of $2.1 million related to the unpaid license fees from Abeona, which was included in the gross accounts receivable balance of $30.1 million. In accordance with its interest accrual policy, the Company ceased the recognition of interest income accrued under the license agreement subsequent to the establishment of the allowance for credit losses in the third quarter of 2020.</w:t>
      </w:r>
    </w:p>
    <w:p>
      <w:pPr>
        <w:spacing w:after="0" w:line="177" w:lineRule="exact"/>
        <w:rPr>
          <w:sz w:val="20"/>
          <w:szCs w:val="20"/>
          <w:color w:val="auto"/>
        </w:rPr>
      </w:pPr>
    </w:p>
    <w:p>
      <w:pPr>
        <w:ind w:right="20" w:firstLine="382"/>
        <w:spacing w:after="0" w:line="286" w:lineRule="auto"/>
        <w:rPr>
          <w:sz w:val="20"/>
          <w:szCs w:val="20"/>
          <w:color w:val="auto"/>
        </w:rPr>
      </w:pPr>
      <w:r>
        <w:rPr>
          <w:rFonts w:ascii="Arial" w:cs="Arial" w:eastAsia="Arial" w:hAnsi="Arial"/>
          <w:sz w:val="16"/>
          <w:szCs w:val="16"/>
          <w:color w:val="auto"/>
        </w:rPr>
        <w:t>In accordance with the Settlement Agreement, the Company received a payment of $20.0 million from Abeona in November 2021. As of December 31, 2021, the Company had recorded gross accounts receivable of $8.8 million from Abeona under the Settlement Agreement, which consisted of current accounts receivable of $5.0 million for the payment due in November 2022, and non-current accounts receivable of $3.8 million for the present value of the $5.0 million payment due by November 2024. While the Company anticipates taking appropriate measures to enforce the full collection of amounts due from Abeona under the Settlement Agreement, the Company assessed the collectability of the accounts receivable from Abeona as it relates to credit risk. In performing this assessment, the Company evaluated Abeona’s credit profile and financial condition, as well its expectations regarding Abeona’s future cash flows and ability to satisfy the contractual obligations of the Settlement Agreement. As a result of its analysis, the Company recorded an allowance for credit losses of $3.8 million as of December 31, 2021 related to the non-current accounts receivable due from Abeona. The Company recorded a provision for credit losses (recoveries) of $(2.6) million and $7.7 million for the years ended December 31, 2021 and 2020, respectively, as a result of changes in estimates regarding the allowance during the periods. The present value discount of the non-current accounts receivable from Abeona is accreted as interest income from licensing through the contractual due date using the effective interest method. The Company has elected to record increases in the allowance for credit losses associated with the accretion of the present value discount of the receivable as a reduction of the associated interest income, resulting in no interest income recognized during the period related to the accretion of the present value discount on the non-current receivable from Abeona.</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AbbVie Global Enterprises Ltd.</w:t>
      </w:r>
    </w:p>
    <w:p>
      <w:pPr>
        <w:spacing w:after="0" w:line="117" w:lineRule="exact"/>
        <w:rPr>
          <w:sz w:val="20"/>
          <w:szCs w:val="20"/>
          <w:color w:val="auto"/>
        </w:rPr>
      </w:pPr>
    </w:p>
    <w:p>
      <w:pPr>
        <w:ind w:right="200" w:firstLine="382"/>
        <w:spacing w:after="0" w:line="286" w:lineRule="auto"/>
        <w:rPr>
          <w:sz w:val="20"/>
          <w:szCs w:val="20"/>
          <w:color w:val="auto"/>
        </w:rPr>
      </w:pPr>
      <w:r>
        <w:rPr>
          <w:rFonts w:ascii="Arial" w:cs="Arial" w:eastAsia="Arial" w:hAnsi="Arial"/>
          <w:sz w:val="17"/>
          <w:szCs w:val="17"/>
          <w:color w:val="auto"/>
        </w:rPr>
        <w:t>In September 2021, the Company entered into a collaboration and license agreement with AbbVie Global Enterprises Ltd. (AbbVie), a subsidiary of AbbVie Inc., to jointly develop and commercialize RGX-314, the Company’s product candidate for the treatment of wet AMD, DR and other chronic retinal diseases (the AbbVie Collaboration Agreement). The AbbVie Collaboration Agreement became effective in November 2021.</w:t>
      </w:r>
    </w:p>
    <w:p>
      <w:pPr>
        <w:spacing w:after="0" w:line="165"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Pursuant to the AbbVie Collaboration Agreement, the Company granted AbbVie a co-exclusive license to develop and commercialize RGX-314 in the United States and an exclusive license to develop and commercialize RGX-314 outside the United States. The Company and AbbVie will collaborate to develop RGX-314 in the United States, and AbbVie will be responsible for the development of RGX-314 in specified markets outside the United States. Through December 31, 2022, the Company will be responsible for development expenses for certain ongoing trials of RGX-314 and the parties will share additional development expenses related to RGX-314. Beginning on January 1, 2023, AbbVie will be responsible for the majority of all RGX-314 development expenses.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382"/>
        <w:spacing w:after="0" w:line="254" w:lineRule="auto"/>
        <w:rPr>
          <w:sz w:val="20"/>
          <w:szCs w:val="20"/>
          <w:color w:val="auto"/>
        </w:rPr>
      </w:pPr>
      <w:r>
        <w:rPr>
          <w:rFonts w:ascii="Arial" w:cs="Arial" w:eastAsia="Arial" w:hAnsi="Arial"/>
          <w:sz w:val="18"/>
          <w:szCs w:val="18"/>
          <w:color w:val="auto"/>
        </w:rPr>
        <w:t>The Company will lead the manufacturing of RGX-314 for clinical development and U.S. commercial supply, and AbbVie will lead the manufacturing of RGX-314 for commercial supply outside the United States. Manufacturing expenses will be allocated between the parties in accordance with the terms of the AbbVie Collaboration Agreement and supply agreements determined in accordance with the agreement. If requested by AbbVie, the Company will manufacture up to a specified portion RGX-314 for commercial supply outside the United States at a price specified in the agreement. AbbVie will lead the commercialization of RGX-314 globally, and the Company will participate in U.S. commercialization efforts as provided under a commercialization plan determined in accordance with the agreement. The Company and AbbVie will share equally in the net profits and net losses associated with the commercialization of RGX-314 in the United States. Outside the United States, AbbVie will be responsible, at its sole cost, for the commercialization of RGX-314.</w:t>
      </w:r>
    </w:p>
    <w:p>
      <w:pPr>
        <w:spacing w:after="0" w:line="192" w:lineRule="exact"/>
        <w:rPr>
          <w:sz w:val="20"/>
          <w:szCs w:val="20"/>
          <w:color w:val="auto"/>
        </w:rPr>
      </w:pPr>
    </w:p>
    <w:p>
      <w:pPr>
        <w:ind w:right="100" w:firstLine="382"/>
        <w:spacing w:after="0" w:line="257" w:lineRule="auto"/>
        <w:rPr>
          <w:sz w:val="20"/>
          <w:szCs w:val="20"/>
          <w:color w:val="auto"/>
        </w:rPr>
      </w:pPr>
      <w:r>
        <w:rPr>
          <w:rFonts w:ascii="Arial" w:cs="Arial" w:eastAsia="Arial" w:hAnsi="Arial"/>
          <w:sz w:val="18"/>
          <w:szCs w:val="18"/>
          <w:color w:val="auto"/>
        </w:rPr>
        <w:t>In consideration for the rights granted under the AbbVie Collaboration Agreement, AbbVie paid the Company an up-front fee of $370.0 million upon the effective date of the agreement in November 2021, and is required to pay to the Company up to $1.38 billion upon the achievement of specified development and sales-based milestones, of which $562.5 million are based on development milestones and $820.0 million are sales-based milestones. AbbVie is also required to pay to the Company tiered royalties on net sales of RGX-314 outside the United States at percentages in the mid-teens to low twenties, subject to specified offsets and reductions.</w:t>
      </w:r>
    </w:p>
    <w:p>
      <w:pPr>
        <w:spacing w:after="0" w:line="188"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The AbbVie Collaboration Agreement contains provisions for termination, including termination for convenience by AbbVie. Contemporaneously with entering into the AbbVie Collaboration Agreement in September 2021, the Company entered into a sublicense agreement with AbbVie (the AbbVie Sublicense Agreement) pursuant to which the Company granted AbbVie an exclusive sublicense to exploit licensed products in connection with the AbbVie Collaboration Agreement under specified patents licensed to the Company by Penn. The AbbVie Sublicense Agreement became effective contemporaneously with the AbbVie Collaboration Agreement in November 2021 and is coterminous with the AbbVie Collaboration Agreement.</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evaluated its various commitments under the AbbVie Collaboration Agreement and identified the following distinct units of account:</w:t>
      </w:r>
    </w:p>
    <w:p>
      <w:pPr>
        <w:spacing w:after="0" w:line="46" w:lineRule="exact"/>
        <w:rPr>
          <w:sz w:val="20"/>
          <w:szCs w:val="20"/>
          <w:color w:val="auto"/>
        </w:rPr>
      </w:pPr>
    </w:p>
    <w:p>
      <w:pPr>
        <w:ind w:right="100" w:firstLine="8"/>
        <w:spacing w:after="0" w:line="270" w:lineRule="auto"/>
        <w:tabs>
          <w:tab w:leader="none" w:pos="2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delivery of an intellectual property license for the rights to develop and commercialize RGX-314 globally, (ii) development, manufacturing and commercialization activities for RGX-314 in the United States, and (iii) manufacturing of commercial supply for sales of RGX-314 outside the United States, if requested by AbbVie. In determining the distinct units of account, the Company concluded that the license granted to AbbVie to develop and commercialize RGX-314 is distinct from the other goods and services promised under the agreement, as AbbVie can benefit from the license on a standalone basis and, based on the stage of development of RGX-314, the underlying licensed products and know-how are not expected to be significantly modified as a result of other goods and services promised under the agreement.</w:t>
      </w:r>
    </w:p>
    <w:p>
      <w:pPr>
        <w:spacing w:after="0" w:line="178"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For each of the distinct units of account identified under the AbbVie Collaboration Agreement, the Company determined whether the transactions should be accounted for as a contract with a customer within the scope of Topic 606 or as a collaborative arrangement within the scope of Topic 808. The Company concluded that the units of account for the delivery of the functional intellectual property license and the manufacturing of commercial supply for sales of RGX-314 outside the United States should be accounted for as revenue under Topic 606, as AbbVie is deemed to be a customer for these transactions. The Company concluded that the unit of account for development, manufacturing and commercialization activities for RGX-314 in the United States should be accounted for as a collaborative arrangement under Topic 808, as these represent joint operating activities for which the Company and AbbVie are both active participants and exposed to significant risks and rewards dependent on the commercial success of such activities.</w:t>
      </w:r>
    </w:p>
    <w:p>
      <w:pPr>
        <w:spacing w:after="0" w:line="166"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The Company applied the requirements of Topic 606 to the AbbVie Collaboration Agreement for the units of account in which AbbVie was deemed to be a customer. The Company determined that there is only one material performance obligation under the agreement for the delivery of the intellectual property license to develop and commercialize RGX-314 globally. The Company evaluated options granted to AbbVie under the agreement and determined that the options do not represent material rights, and therefore are not considered separate performance obligations under the current contract. Specifically, the Company concluded that the option granted to AbbVie to purchase commercial supply of RGX-314 from the Company for a portion of sales outside the United States does not convey a material right, as the option is not priced at an incremental discount to the standalone selling price of the underlying goods and services. Additionally, the Company identified various promises under the AbbVie Collaboration Agreement which were determined to be immaterial in the context of the contract and will not be accounted for as a separate performance obligations.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Upon the effective date of the agreement and as of December 31, 2021, the transaction price of the AbbVie Collaboration Agreement was $370.0 million, which consisted solely of the up-front payment in November 2021. The $370.0 million transaction price was fully recognized as revenue upon the delivery of the license to AbbVie in November 2021. Variable consideration under the AbbVie Collaboration Agreement, which has been excluded from the transaction price, includes $562.5 million in payments for development milestones that have not yet been achieved and were not considered probable of achievement. Additionally, the transaction price excludes sales-based milestone payments of $820.0 million and royalties on net sales of RGX-314 outside the United States. Development milestones will be added to the transaction price and recognized as revenue upon achievement, or if deemed probable of achievement. In accordance with the sale- or usage-based royalty exception under Topic 606, royalties on net sales and sales-based milestones will be recognized as revenue in the period the underlying sales occur or milestones are achieved.</w:t>
      </w:r>
    </w:p>
    <w:p>
      <w:pPr>
        <w:spacing w:after="0" w:line="178"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The Company applied the requirements of Topic 808 to the AbbVie Collaboration Agreement for the units of account which were deemed to be a collaborative arrangement. Both the Company and AbbVie will perform various activities related to the development, manufacturing and commercialization of RGX-314 in the United States. Development costs are shared between the parties in accordance with the terms of the AbbVie Collaboration Agreement, and the parties will share equally in the net profits and losses derived from sales of RGX-314 in the United States. The Company accounts for payments to and from AbbVie for the sharing of development costs in accordance with its accounting policy for collaborative arrangements. Amounts owed to AbbVie for the Company’s share of development costs incurred by AbbVie are recorded as research and development expense in the period the costs are incurred. Amounts owed to the Company for AbbVie’s share of development costs incurred by the Company are recorded as a reduction of research and development expense in the period the costs are incurred. At the end of each reporting period, the Company records a net amount due to or from AbbVie as a result of the cost-sharing arrangement. As of December 31, 2021, the Company had recorded $5.9 million due from AbbVie for reimbursement of development costs under AbbVie Collaboration Agreement which is included in other current assets on the consolidated balance sheet.</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recognized the following amounts under the AbbVie Collaboration Agreement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2021</w:t>
            </w: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 and royalty revenue</w:t>
            </w:r>
          </w:p>
        </w:tc>
        <w:tc>
          <w:tcPr>
            <w:tcW w:w="10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Reduction of research and development expense for costs reimbursable by AbbVie</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20"/>
                <w:szCs w:val="20"/>
                <w:color w:val="auto"/>
              </w:rPr>
            </w:pPr>
          </w:p>
        </w:tc>
      </w:tr>
    </w:tbl>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Neurimmune AG</w:t>
      </w:r>
    </w:p>
    <w:p>
      <w:pPr>
        <w:spacing w:after="0" w:line="117" w:lineRule="exact"/>
        <w:rPr>
          <w:sz w:val="20"/>
          <w:szCs w:val="20"/>
          <w:color w:val="auto"/>
        </w:rPr>
      </w:pPr>
    </w:p>
    <w:p>
      <w:pPr>
        <w:ind w:right="100" w:firstLine="382"/>
        <w:spacing w:after="0" w:line="272" w:lineRule="auto"/>
        <w:rPr>
          <w:sz w:val="20"/>
          <w:szCs w:val="20"/>
          <w:color w:val="auto"/>
        </w:rPr>
      </w:pPr>
      <w:r>
        <w:rPr>
          <w:rFonts w:ascii="Arial" w:cs="Arial" w:eastAsia="Arial" w:hAnsi="Arial"/>
          <w:sz w:val="17"/>
          <w:szCs w:val="17"/>
          <w:color w:val="auto"/>
        </w:rPr>
        <w:t>In July 2019, the Company entered into a collaboration and license agreement with Neurimmune AG (Neurimmune) pursuant to which the Company and Neurimmune will jointly develop and commercialize novel gene therapies using AAV vectors from the NAV Technology Platform to deliver human antibodies for chronic neurodegenerative diseases. The Company and Neurimmune will share all research and development costs for the first two years of the agreement, after which each party will have the option, on a target-by-target basis, to: (i) continue as a 50% partner in the collaboration; (ii) receive a phase-based worldwide royalty in lieu of continued development investment; or (iii) negotiate with the other party to lead the development and commercialization of the respective program. Unless the parties agree otherwise, upon the commercialization of any product candidates, if any, it is anticipated that profits and losses will be shared equally on a worldwide basis.</w:t>
      </w:r>
    </w:p>
    <w:p>
      <w:pPr>
        <w:spacing w:after="0" w:line="177" w:lineRule="exact"/>
        <w:rPr>
          <w:sz w:val="20"/>
          <w:szCs w:val="20"/>
          <w:color w:val="auto"/>
        </w:rPr>
      </w:pPr>
    </w:p>
    <w:p>
      <w:pPr>
        <w:ind w:right="80" w:firstLine="382"/>
        <w:spacing w:after="0" w:line="289" w:lineRule="auto"/>
        <w:rPr>
          <w:sz w:val="20"/>
          <w:szCs w:val="20"/>
          <w:color w:val="auto"/>
        </w:rPr>
      </w:pPr>
      <w:r>
        <w:rPr>
          <w:rFonts w:ascii="Arial" w:cs="Arial" w:eastAsia="Arial" w:hAnsi="Arial"/>
          <w:sz w:val="16"/>
          <w:szCs w:val="16"/>
          <w:color w:val="auto"/>
        </w:rPr>
        <w:t>The Company determined that the collaboration and license agreement with Neurimmune is a collaborative arrangement within the scope of Topic 808, and that no unit of account under the arrangement should be accounted for as a transaction with a customer within the scope of Topic 606. The Company accounts for payments to and from Neurimmune for the sharing of development costs in accordance with its accounting policy for collaborative arrangements. Amounts owed to Neurimmune for the Company’s share of development costs incurred by Neurimmune are recorded as research and development expense in the period the costs are incurred. Amounts owed to the Company for Neurimmune’s share of development costs incurred by the Company are recorded as a reduction of research and development expense in the period the costs are incurred. At the end of each reporting period, the Company records a net amount due to or from Neurimmune as a result of the cost-sharing arrangement. As of December 31, 2021 and 2020, the Company had recorded $0.4 million and $0.3 million, respectively, due to Neurimmune for reimbursement of development costs under the collaboration and license agreement which is included in accrued expenses and other current liability on the consolidated balance sheets.</w:t>
      </w:r>
    </w:p>
    <w:p>
      <w:pPr>
        <w:spacing w:after="0" w:line="166"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During the years ended December 31, 2021, 2020 and 2019, the Company recorded $0.2 million, $0.3 million and less than $0.1 million, respectively, in net cost reimbursement to Neurimmune for development activities under the collaboration and license agreement, which were recorded as research and development expenses.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In September 2014, the Board of Directors adopted the 2014 Stock Plan (the 2014 Plan). In June 2015, the Board of Directors adopted the 2015 Equity Incentive Plan (the 2015 Plan), which became effective upon the Company’s initial public offering in September 2015. The 2015 Plan replaced the 2014 Plan, and as of the effective date of the 2015 Plan, no further awards may be issued under the 2014 Plan. Any options or awards outstanding under the 2014 Plan as of the effective date of the 2015 Plan remained outstanding and effective. The number of authorized shares under the 2015 Plan automatically increases annually on the first business day of each fiscal year, by the lesser of (i) 4% of the total number of shares of common stock outstanding on December 31 of the prior year, or (ii) a number of common shares determined by the Board of Directors. As of December 31, 2021, the total number of shares of common stock authorized for issuance under the 2015 Plan and 2014 Plan was 13,911,954, of which 2,352,346 remained available for future grants under the 2015 Plan. In January 2022, the Board of Directors authorized an additional 1,713,246 shares to be issued under the 2015 Plan.</w:t>
      </w:r>
    </w:p>
    <w:p>
      <w:pPr>
        <w:spacing w:after="0" w:line="165"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The 2014 Plan and 2015 Plan provide for the issuance of stock options, stock appreciation rights, restricted and unrestricted stock and unit awards, and performance cash awards to employees, members of the Board of Directors and consultants of the Company. Since the inception of the plans, the Company has issued only stock options and restricted stock units under the plans. Stock options under the 2014 Plan and 2015 Plan generally expire 10 years following the date of grant. Options typically vest over a four-year period, but vesting provisions can vary by award based on the discretion of the Board of Directors. Certain stock option awards granted by the Company may include performance conditions that must be achieved in order for vesting to occur. Stock options under the 2014 Plan and 2015 Plan have an exercise price at least equal to the estimated fair value of the Company’s common stock on the date of grant. Restricted stock units typically vest over a four-year period, but vesting provisions can vary by award based on the discretion of the Board of Directors. Upon vesting, restricted stock units are settled in common stock of the Company.</w:t>
      </w:r>
    </w:p>
    <w:p>
      <w:pPr>
        <w:spacing w:after="0" w:line="178" w:lineRule="exact"/>
        <w:rPr>
          <w:sz w:val="20"/>
          <w:szCs w:val="20"/>
          <w:color w:val="auto"/>
        </w:rPr>
      </w:pPr>
    </w:p>
    <w:p>
      <w:pPr>
        <w:ind w:right="100" w:firstLine="382"/>
        <w:spacing w:after="0" w:line="296" w:lineRule="auto"/>
        <w:rPr>
          <w:sz w:val="20"/>
          <w:szCs w:val="20"/>
          <w:color w:val="auto"/>
        </w:rPr>
      </w:pPr>
      <w:r>
        <w:rPr>
          <w:rFonts w:ascii="Arial" w:cs="Arial" w:eastAsia="Arial" w:hAnsi="Arial"/>
          <w:sz w:val="16"/>
          <w:szCs w:val="16"/>
          <w:color w:val="auto"/>
        </w:rPr>
        <w:t>Shares of common stock underlying awards previously issued under the 2014 Plan and 2015 Plan which are reacquired by the Company, withheld by the Company in payment of the purchase price, exercise price or withholding taxes, expired, cancelled due to forfeiture or otherwise terminated other than by exercise or settlement, are added to the number of shares of common stock available for issuance under the 2015 Plan. Shares available for issuance under the 2015 Plan may be either authorized but unissued shares of the Company’s common stock or common stock reacquired by the Company and held in treasury. The 2015 Plan expires in June 2025, 10 years from the date it was adopted by the Board of Directors, unless earlier terminated.</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stock-based compensation expense by award type was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38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35,320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25,964</w:t>
            </w:r>
          </w:p>
        </w:tc>
        <w:tc>
          <w:tcPr>
            <w:tcW w:w="10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38,808</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26,854</w:t>
            </w:r>
          </w:p>
        </w:tc>
        <w:tc>
          <w:tcPr>
            <w:tcW w:w="10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382"/>
        <w:spacing w:after="0" w:line="342" w:lineRule="auto"/>
        <w:rPr>
          <w:sz w:val="20"/>
          <w:szCs w:val="20"/>
          <w:color w:val="auto"/>
        </w:rPr>
      </w:pPr>
      <w:r>
        <w:rPr>
          <w:rFonts w:ascii="Arial" w:cs="Arial" w:eastAsia="Arial" w:hAnsi="Arial"/>
          <w:sz w:val="16"/>
          <w:szCs w:val="16"/>
          <w:color w:val="auto"/>
        </w:rPr>
        <w:t>As of December 31, 2021, the Company had $67.9 million of unrecognized stock-based compensation expense related to stock options, restricted stock units and the 2015 Employee Stock Purchase Plan (the 2015 ESPP), which is expected to be recognized over a weighted-average period of 2.3 years.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recorded aggregate stock-based compensation expense in the consolidated statements of operations and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1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19,602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13,031</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19,206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38,808</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31,949</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26,854</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20" w:type="dxa"/>
            <w:vAlign w:val="bottom"/>
            <w:gridSpan w:val="2"/>
          </w:tcPr>
          <w:p>
            <w:pPr>
              <w:jc w:val="right"/>
              <w:ind w:right="667"/>
              <w:spacing w:after="0"/>
              <w:rPr>
                <w:sz w:val="20"/>
                <w:szCs w:val="20"/>
                <w:color w:val="auto"/>
              </w:rPr>
            </w:pPr>
            <w:r>
              <w:rPr>
                <w:rFonts w:ascii="Arial" w:cs="Arial" w:eastAsia="Arial" w:hAnsi="Arial"/>
                <w:sz w:val="18"/>
                <w:szCs w:val="18"/>
                <w:color w:val="auto"/>
              </w:rPr>
              <w:t>117</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stock option activity under the 2014 Plan and 2015 Plan (in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Value (a)</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101,356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Cancelled or forfeited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45.98</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41,128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ind w:left="1140"/>
              <w:spacing w:after="0"/>
              <w:rPr>
                <w:sz w:val="20"/>
                <w:szCs w:val="20"/>
                <w:color w:val="auto"/>
              </w:rPr>
            </w:pPr>
            <w:r>
              <w:rPr>
                <w:rFonts w:ascii="Arial" w:cs="Arial" w:eastAsia="Arial" w:hAnsi="Arial"/>
                <w:sz w:val="18"/>
                <w:szCs w:val="18"/>
                <w:color w:val="auto"/>
              </w:rPr>
              <w:t>Exercisable at December 31, 2021</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29.62</w:t>
            </w:r>
          </w:p>
        </w:tc>
        <w:tc>
          <w:tcPr>
            <w:tcW w:w="18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40,607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gridSpan w:val="3"/>
            <w:vMerge w:val="continue"/>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6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41,128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4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360" w:hanging="372"/>
        <w:spacing w:after="0" w:line="277"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stock for the options that were in the money at the dates reported.</w:t>
      </w:r>
    </w:p>
    <w:p>
      <w:pPr>
        <w:spacing w:after="0" w:line="170" w:lineRule="exact"/>
        <w:rPr>
          <w:sz w:val="20"/>
          <w:szCs w:val="20"/>
          <w:color w:val="auto"/>
        </w:rPr>
      </w:pPr>
    </w:p>
    <w:p>
      <w:pPr>
        <w:ind w:right="380" w:firstLine="382"/>
        <w:spacing w:after="0" w:line="301" w:lineRule="auto"/>
        <w:rPr>
          <w:sz w:val="20"/>
          <w:szCs w:val="20"/>
          <w:color w:val="auto"/>
        </w:rPr>
      </w:pPr>
      <w:r>
        <w:rPr>
          <w:rFonts w:ascii="Arial" w:cs="Arial" w:eastAsia="Arial" w:hAnsi="Arial"/>
          <w:sz w:val="16"/>
          <w:szCs w:val="16"/>
          <w:color w:val="auto"/>
        </w:rPr>
        <w:t>The weighted-average grant date fair value per share of options granted during the years ended December 31, 2021, 2020 and 2019 was $26.01, $23.82 and $31.19, respectively. During the years ended December 31, 2021, 2020 and 2019, the total number of stock options exercised was 404,263, 434,534 and 796,847, respectively, resulting in total proceeds of $4.3 million, $5.6 million and $7.1 million, respectively. The total intrinsic value of options exercised during the years ended December 31, 2021, 2020 and 2019 was $11.9 million, $11.5 million and $30.8 million, respectively.</w:t>
      </w:r>
    </w:p>
    <w:p>
      <w:pPr>
        <w:spacing w:after="0" w:line="157"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The fair values of options granted were estimated at each grant date using the Black-Scholes valuation model with the following weighted-average assumptions:</w:t>
      </w:r>
    </w:p>
    <w:p>
      <w:pPr>
        <w:spacing w:after="0" w:line="216"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44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w:t>
            </w:r>
          </w:p>
        </w:tc>
        <w:tc>
          <w:tcPr>
            <w:tcW w:w="8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r>
      <w:tr>
        <w:trPr>
          <w:trHeight w:val="229"/>
        </w:trPr>
        <w:tc>
          <w:tcPr>
            <w:tcW w:w="53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r>
      <w:tr>
        <w:trPr>
          <w:trHeight w:val="230"/>
        </w:trPr>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w:t>
            </w:r>
          </w:p>
        </w:tc>
        <w:tc>
          <w:tcPr>
            <w:tcW w:w="8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00" w:lineRule="exact"/>
        <w:rPr>
          <w:sz w:val="20"/>
          <w:szCs w:val="20"/>
          <w:color w:val="auto"/>
        </w:rPr>
      </w:pPr>
    </w:p>
    <w:p>
      <w:pPr>
        <w:spacing w:after="0" w:line="3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restricted stock unit activity under the 2015 Plan (in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20" w:type="dxa"/>
            <w:vAlign w:val="bottom"/>
          </w:tcPr>
          <w:p>
            <w:pPr>
              <w:ind w:left="42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December 31, 2020</w:t>
            </w:r>
          </w:p>
        </w:tc>
        <w:tc>
          <w:tcPr>
            <w:tcW w:w="9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43.67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70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December 31, 2021</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jc w:val="right"/>
              <w:ind w:right="1370"/>
              <w:spacing w:after="0"/>
              <w:rPr>
                <w:sz w:val="20"/>
                <w:szCs w:val="20"/>
                <w:color w:val="auto"/>
              </w:rPr>
            </w:pPr>
            <w:r>
              <w:rPr>
                <w:rFonts w:ascii="Arial" w:cs="Arial" w:eastAsia="Arial" w:hAnsi="Arial"/>
                <w:sz w:val="18"/>
                <w:szCs w:val="18"/>
                <w:color w:val="auto"/>
              </w:rPr>
              <w:t>118</w:t>
            </w: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0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No restricted stock units vested during the years ended December 31, 2021 and 2020. The total intrinsic value of restricted stock units vested during the year ended December 31, 2019 was $1.8 million.</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In June 2015, the Board of Directors adopted the 2015 ESPP, which became effective upon the Company’s initial public offering in September 2015. The number of authorized shares reserved for issuance under the 2015 ESPP automatically increases on the first business day of each fiscal year by the lesser of (i) 1% of the shares of common stock outstanding on the last business day of the prior fiscal year; or (ii) the number of shares determined by the Board of Directors. Unless otherwise determined by the administrator of the 2015 ESPP, two offering periods of six months’ duration will begin each year on January 1 and July 1. As of December 31, 2021, the total number of shares of common stock authorized for issuance under the 2015 ESPP was 998,683, of which 769,174 remained available for future issuance. During the years ended December 31, 2021, 2020 and 2019, 53,596, 55,499 and 35,994 shares of common stock, respectively, were issued under the 2015 ESPP. In January 2022, the Board of Directors authorized an additional 428,311 shares to be issued under the 2015 ESPP.</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w:t>
      </w:r>
    </w:p>
    <w:p>
      <w:pPr>
        <w:spacing w:after="0" w:line="121" w:lineRule="exact"/>
        <w:rPr>
          <w:sz w:val="20"/>
          <w:szCs w:val="20"/>
          <w:color w:val="auto"/>
        </w:rPr>
      </w:pPr>
    </w:p>
    <w:p>
      <w:pPr>
        <w:ind w:right="60" w:firstLine="382"/>
        <w:spacing w:after="0" w:line="301" w:lineRule="auto"/>
        <w:rPr>
          <w:sz w:val="20"/>
          <w:szCs w:val="20"/>
          <w:color w:val="auto"/>
        </w:rPr>
      </w:pPr>
      <w:r>
        <w:rPr>
          <w:rFonts w:ascii="Arial" w:cs="Arial" w:eastAsia="Arial" w:hAnsi="Arial"/>
          <w:sz w:val="16"/>
          <w:szCs w:val="16"/>
          <w:color w:val="auto"/>
        </w:rPr>
        <w:t>The Company sponsors a defined-contribution retirement plan under Section 401(k) of the Internal Revenue Code (the 401(k) Plan). The 401(k) Plan covers all employees who meet defined minimum age and service requirements, and allows participants to defer a portion of their annual compensation. The Company matches employee deferrals up to a specified percentage of eligible compensation. For the years ended December 31, 2021, 2020 and 2019, the Company incurred expenses of $2.6 million, $2.2 million and $1.8 million, respectively, for matching contributions to the 401(k) Plan.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income (loss) before income taxes were as follows (in thousands):</w:t>
      </w:r>
    </w:p>
    <w:p>
      <w:pPr>
        <w:spacing w:after="0" w:line="298"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13"/>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141,303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(97,435)</w:t>
            </w:r>
          </w:p>
        </w:tc>
        <w:tc>
          <w:tcPr>
            <w:tcW w:w="100" w:type="dxa"/>
            <w:vAlign w:val="bottom"/>
            <w:shd w:val="clear" w:color="auto" w:fill="CFF0FC"/>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23"/>
        </w:trPr>
        <w:tc>
          <w:tcPr>
            <w:tcW w:w="76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(loss) before income taxes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gridSpan w:val="3"/>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7200" w:type="dxa"/>
            <w:vAlign w:val="bottom"/>
            <w:gridSpan w:val="7"/>
          </w:tcPr>
          <w:p>
            <w:pPr>
              <w:jc w:val="right"/>
              <w:ind w:right="67"/>
              <w:spacing w:after="0"/>
              <w:rPr>
                <w:sz w:val="20"/>
                <w:szCs w:val="20"/>
                <w:color w:val="auto"/>
              </w:rPr>
            </w:pPr>
            <w:r>
              <w:rPr>
                <w:rFonts w:ascii="Arial" w:cs="Arial" w:eastAsia="Arial" w:hAnsi="Arial"/>
                <w:sz w:val="18"/>
                <w:szCs w:val="18"/>
                <w:color w:val="auto"/>
                <w:w w:val="90"/>
              </w:rPr>
              <w:t>The components of the provision for income tax expense (benefit) were as follows (in thousands):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76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13"/>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Federal</w:t>
            </w:r>
          </w:p>
        </w:tc>
        <w:tc>
          <w:tcPr>
            <w:tcW w:w="10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4,107</w:t>
            </w:r>
          </w:p>
        </w:tc>
        <w:tc>
          <w:tcPr>
            <w:tcW w:w="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(2,288)</w:t>
            </w:r>
          </w:p>
        </w:tc>
      </w:tr>
      <w:tr>
        <w:trPr>
          <w:trHeight w:val="230"/>
        </w:trPr>
        <w:tc>
          <w:tcPr>
            <w:tcW w:w="76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w:t>
            </w:r>
          </w:p>
        </w:tc>
        <w:tc>
          <w:tcPr>
            <w:tcW w:w="7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13,407</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w:t>
            </w:r>
          </w:p>
        </w:tc>
      </w:tr>
      <w:tr>
        <w:trPr>
          <w:trHeight w:val="230"/>
        </w:trPr>
        <w:tc>
          <w:tcPr>
            <w:tcW w:w="76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State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30"/>
        </w:trPr>
        <w:tc>
          <w:tcPr>
            <w:tcW w:w="76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0" w:type="dxa"/>
            <w:vAlign w:val="bottom"/>
          </w:tcPr>
          <w:p>
            <w:pPr>
              <w:spacing w:after="0"/>
              <w:rPr>
                <w:sz w:val="19"/>
                <w:szCs w:val="19"/>
                <w:color w:val="auto"/>
              </w:rPr>
            </w:pPr>
          </w:p>
        </w:tc>
        <w:tc>
          <w:tcPr>
            <w:tcW w:w="3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7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FF0FC"/>
            </w:tcBorders>
          </w:tcPr>
          <w:p>
            <w:pPr>
              <w:spacing w:after="0"/>
              <w:rPr>
                <w:sz w:val="19"/>
                <w:szCs w:val="19"/>
                <w:color w:val="auto"/>
              </w:rPr>
            </w:pPr>
          </w:p>
        </w:tc>
      </w:tr>
      <w:tr>
        <w:trPr>
          <w:trHeight w:val="223"/>
        </w:trPr>
        <w:tc>
          <w:tcPr>
            <w:tcW w:w="76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income tax expense (benefit)</w:t>
            </w:r>
          </w:p>
        </w:tc>
        <w:tc>
          <w:tcPr>
            <w:tcW w:w="7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13,407</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382"/>
        <w:spacing w:after="0" w:line="255" w:lineRule="auto"/>
        <w:rPr>
          <w:sz w:val="20"/>
          <w:szCs w:val="20"/>
          <w:color w:val="auto"/>
        </w:rPr>
      </w:pPr>
      <w:r>
        <w:rPr>
          <w:rFonts w:ascii="Arial" w:cs="Arial" w:eastAsia="Arial" w:hAnsi="Arial"/>
          <w:sz w:val="18"/>
          <w:szCs w:val="18"/>
          <w:color w:val="auto"/>
        </w:rPr>
        <w:t>In response to the COVID-19 pandemic, the Coronavirus Aid, Relief and Economic Security Act (the CARES Act) was signed into law in March 2020. The CARES Act (i) lifted certain deduction limitations originally imposed by the TCJA, (ii) allowed corporate taxpayers to carryback net operating losses (NOLs) originating during 2018 through 2020 for up to five years, which was not previously allowed under the TCJA, (iii) eliminated the 80% of taxable income limitations on NOL utilization imposed by the TCJA, allowing corporate entities to fully utilize NOL carryforwards to offset taxable income in 2018, 2019 or 2020, and (iv) enacted various other changes to corporate taxation. Also included in the CARES Act was a change to the TCJA related to qualified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improvement property, retroactively allowing for a 15-year recovery period and bonus depreciation. As a result of this change, the Company recorded current income tax benefit of $0.5 million for the year ended December 31, 2020 related to a reduction of state taxes associated with additional depreciation deductions allowed for the 2018 tax year. Overall, the enactment of the CARES Act, including the change for qualified improvement property, did not result in any material adjustments to the Company’s income tax provision for the year ended December 31, 2020.</w:t>
      </w:r>
    </w:p>
    <w:p>
      <w:pPr>
        <w:spacing w:after="0" w:line="171"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Beginning in 2022, the TCJA eliminates the option to deduct research and development expenses currently and requires taxpayers to amortize such costs over a period of five years. While the Federal government is currently considering legislation that would defer or repeal this provision, there is no assurance such legislation will be enacted. The Company does not currently expect this provision of the TCJA will have a material impact on its tax position or operating cash flows for the year ended December 31, 2022, however, the actual impact of this provision to future periods is uncertain as of this time.</w:t>
      </w:r>
    </w:p>
    <w:p>
      <w:pPr>
        <w:spacing w:after="0" w:line="188"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The following table presents a reconciliation of income tax expense (benefit) computed at the statutory federal income tax rate of 21% to income tax expense (benefit) reported in the consolidated statements of operations and comprehensive income (loss)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Years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expense (benefit) at statutory rate</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29,662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(20,473)</w:t>
            </w:r>
          </w:p>
        </w:tc>
        <w:tc>
          <w:tcPr>
            <w:tcW w:w="12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w w:val="99"/>
              </w:rPr>
              <w:t>State income tax expense (benefit), net of federal tax effect</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(11,495)</w:t>
            </w: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(15,323)</w:t>
            </w: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2"/>
              </w:rPr>
              <w:t>(10,059)</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(7,793)</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(11,075)</w:t>
            </w: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(2,134)</w:t>
            </w: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Executive compensation</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Other non-deductible expenses and reconciling items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Change in corporate tax rates</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14,772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(32,746)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45,209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45,976</w:t>
            </w:r>
          </w:p>
        </w:tc>
        <w:tc>
          <w:tcPr>
            <w:tcW w:w="120" w:type="dxa"/>
            <w:vAlign w:val="bottom"/>
          </w:tcPr>
          <w:p>
            <w:pPr>
              <w:spacing w:after="0"/>
              <w:rPr>
                <w:sz w:val="19"/>
                <w:szCs w:val="19"/>
                <w:color w:val="auto"/>
              </w:rPr>
            </w:pPr>
          </w:p>
        </w:tc>
      </w:tr>
      <w:tr>
        <w:trPr>
          <w:trHeight w:val="223"/>
        </w:trPr>
        <w:tc>
          <w:tcPr>
            <w:tcW w:w="47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 expense (benefit)</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13,407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significant components of the Company’s net deferred tax assets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9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0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19"/>
                <w:szCs w:val="19"/>
                <w:color w:val="auto"/>
              </w:rPr>
            </w:pPr>
          </w:p>
        </w:tc>
        <w:tc>
          <w:tcPr>
            <w:tcW w:w="62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14,683</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47,970</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15,644</w:t>
            </w: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liabilities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21,961</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Liability related sale of future royalties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62,089</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Accruals and other</w:t>
            </w:r>
          </w:p>
        </w:tc>
        <w:tc>
          <w:tcPr>
            <w:tcW w:w="7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100" w:type="dxa"/>
            <w:vAlign w:val="bottom"/>
            <w:shd w:val="clear" w:color="auto" w:fill="CFF0FC"/>
          </w:tcPr>
          <w:p>
            <w:pPr>
              <w:spacing w:after="0"/>
              <w:rPr>
                <w:sz w:val="19"/>
                <w:szCs w:val="19"/>
                <w:color w:val="auto"/>
              </w:rPr>
            </w:pPr>
          </w:p>
        </w:tc>
      </w:tr>
      <w:tr>
        <w:trPr>
          <w:trHeight w:val="223"/>
        </w:trPr>
        <w:tc>
          <w:tcPr>
            <w:tcW w:w="4940" w:type="dxa"/>
            <w:vAlign w:val="bottom"/>
          </w:tcPr>
          <w:p>
            <w:pPr>
              <w:ind w:left="480"/>
              <w:spacing w:after="0"/>
              <w:rPr>
                <w:sz w:val="20"/>
                <w:szCs w:val="20"/>
                <w:color w:val="auto"/>
              </w:rPr>
            </w:pPr>
            <w:r>
              <w:rPr>
                <w:rFonts w:ascii="Arial" w:cs="Arial" w:eastAsia="Arial" w:hAnsi="Arial"/>
                <w:sz w:val="18"/>
                <w:szCs w:val="18"/>
                <w:color w:val="auto"/>
              </w:rPr>
              <w:t>Total deferred tax assets before valuation allowance</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140,754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169,717</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(110,756)</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(142,907)</w:t>
            </w:r>
          </w:p>
        </w:tc>
      </w:tr>
      <w:tr>
        <w:trPr>
          <w:trHeight w:val="223"/>
        </w:trPr>
        <w:tc>
          <w:tcPr>
            <w:tcW w:w="494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26,810</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ind w:left="240"/>
              <w:spacing w:after="0"/>
              <w:rPr>
                <w:sz w:val="20"/>
                <w:szCs w:val="20"/>
                <w:color w:val="auto"/>
              </w:rPr>
            </w:pPr>
            <w:r>
              <w:rPr>
                <w:rFonts w:ascii="Arial" w:cs="Arial" w:eastAsia="Arial" w:hAnsi="Arial"/>
                <w:sz w:val="18"/>
                <w:szCs w:val="18"/>
                <w:color w:val="auto"/>
              </w:rPr>
              <w:t>Unrealized gains on marketable securities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Right-of-use assets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(16,363)</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(21,094)</w:t>
            </w: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(13,635)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(5,155)</w:t>
            </w: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w:t>
            </w:r>
          </w:p>
        </w:tc>
      </w:tr>
      <w:tr>
        <w:trPr>
          <w:trHeight w:val="223"/>
        </w:trPr>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liabilities</w:t>
            </w:r>
          </w:p>
        </w:tc>
        <w:tc>
          <w:tcPr>
            <w:tcW w:w="7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(26,810)</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deferred tax assets</w:t>
            </w:r>
          </w:p>
        </w:tc>
        <w:tc>
          <w:tcPr>
            <w:tcW w:w="7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82"/>
        <w:spacing w:after="0" w:line="296" w:lineRule="auto"/>
        <w:rPr>
          <w:sz w:val="20"/>
          <w:szCs w:val="20"/>
          <w:color w:val="auto"/>
        </w:rPr>
      </w:pPr>
      <w:r>
        <w:rPr>
          <w:rFonts w:ascii="Arial" w:cs="Arial" w:eastAsia="Arial" w:hAnsi="Arial"/>
          <w:sz w:val="16"/>
          <w:szCs w:val="16"/>
          <w:color w:val="auto"/>
        </w:rPr>
        <w:t>The Company evaluated the positive and negative evidence bearing upon the realizability of its deferred tax assets as of December 31, 2021 and 2020. Based on the Company’s history of operating losses, and other relevant facts and circumstances, the Company concluded that it was more likely than not that the benefit of its deferred tax assets will not be realized. Accordingly, the Company provided a full valuation allowance for its net deferred tax assets as of December 31, 2021 and 2020. The valuation allowance increased (decreased) by $(32.2) million and $45.4 million during the years ended December 31, 2021 and 2020, respectively. The decrease in the valuation allowance during the year ended December 31, 2021 was due primarily to the utilization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federal and state NOLs and research and development tax credit carryforwards, a decrease in the deferred tax asset for the liability related to the sale of future royalties and other decreases in net deferred tax assets during the period. The increase in the valuation allowance during the year ended December 31, 2020 was due primarily to an increase in deferred tax assets resulting from the sale of the Company’s Zolgensma royalty rights to HCR in December 2020, which was treated as a sale for tax purposes, research and development credits generated during the period, stock-based compensation expense and realized gains on sales of marketable securities, the impact of which was partially offset by the utilization of federal and state NOLs during the period.</w:t>
      </w:r>
    </w:p>
    <w:p>
      <w:pPr>
        <w:spacing w:after="0" w:line="161"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As of December 31, 2021 and 2020, the Company had U.S. federal NOL carryforwards of zero and approximately $44.7 million, respectively, and U.S. state NOL carryforwards of approximately $59.9 million and $79.7 million, respectively, which may be available to offset future income tax liabilities. A portion of the Company’s U.S. state NOL carryforwards as of December 31, 2021 may be carried forward indefinitely, with the remaining portion expiring at various dates between 2034 and 2041.</w:t>
      </w:r>
    </w:p>
    <w:p>
      <w:pPr>
        <w:spacing w:after="0" w:line="187"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As of December 31, 2021 and 2020, the Company had U.S. federal and state research and development tax credit carryforwards of approximately $45.6 million and $48.0 million, respectively, net of unrecognized tax benefits of $0.1 million and $0.1 million, respectively, which may be available to reduce future income tax liabilities and expire at various dates between 2035 and 2041. The calculation of these credits requires assumptions to be made by the Company to estimate qualified research expenses. The Company conducts formal studies to document the qualified activities and expenses used to calculate these credits, however a portion of these credits may be subject to future studies which have not yet occurred, the results of which may result in an adjustment to the Company’s credit carryforwards. The Company accounts for uncertain tax positions in accordance with the requirements of ASC 740, and recognizes the tax benefit of tax positions to the extent that the benefit will more likely than not be realized. As of December 31, 2021 and 2020, the Company had total unrecognized tax benefits of $0.1 million and $0.1 million, respectively, which were reserved against its research and development tax credit carryforwards as uncertain tax positions. No reserve for uncertain tax positions has been placed against qualified expenses for which a study has not been conducted. However, a full valuation allowance has been provided against the net credit carryforwards and, if an adjustment is required upon the completion of the study, this adjustment would be offset by an adjustment to the deferred tax asset established for the research and development credit carryforwards and the valuation allowance. If these unrecognized tax benefits were to be recognized, the impact would be offset by an adjustment to the valuation allowance, resulting in no impact on the Company’s effective tax rate. The Company does not expect that a significant portion of its unrecognized tax benefits will increase or decrease in the next 12 months as of December 31, 2021.</w:t>
      </w:r>
    </w:p>
    <w:p>
      <w:pPr>
        <w:spacing w:after="0" w:line="171" w:lineRule="exact"/>
        <w:rPr>
          <w:sz w:val="20"/>
          <w:szCs w:val="20"/>
          <w:color w:val="auto"/>
        </w:rPr>
      </w:pPr>
    </w:p>
    <w:p>
      <w:pPr>
        <w:ind w:right="120" w:firstLine="382"/>
        <w:spacing w:after="0" w:line="271" w:lineRule="auto"/>
        <w:rPr>
          <w:sz w:val="20"/>
          <w:szCs w:val="20"/>
          <w:color w:val="auto"/>
        </w:rPr>
      </w:pPr>
      <w:r>
        <w:rPr>
          <w:rFonts w:ascii="Arial" w:cs="Arial" w:eastAsia="Arial" w:hAnsi="Arial"/>
          <w:sz w:val="17"/>
          <w:szCs w:val="17"/>
          <w:color w:val="auto"/>
        </w:rPr>
        <w:t>Under the provisions of the Internal Revenue Code, the Company’s NOL and tax credit carryforwards are subject to review and possible adjustment by the Internal Revenue Service and state tax authorities. NOL and tax credit carryforwards may be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which may have resulted in a change in control as defined by Sections 382 and 383 of the Internal Revenue Code, or could result in a change in control in the future.</w:t>
      </w:r>
    </w:p>
    <w:p>
      <w:pPr>
        <w:spacing w:after="0" w:line="178" w:lineRule="exact"/>
        <w:rPr>
          <w:sz w:val="20"/>
          <w:szCs w:val="20"/>
          <w:color w:val="auto"/>
        </w:rPr>
      </w:pPr>
    </w:p>
    <w:p>
      <w:pPr>
        <w:ind w:right="240" w:firstLine="382"/>
        <w:spacing w:after="0" w:line="259" w:lineRule="auto"/>
        <w:rPr>
          <w:sz w:val="20"/>
          <w:szCs w:val="20"/>
          <w:color w:val="auto"/>
        </w:rPr>
      </w:pPr>
      <w:r>
        <w:rPr>
          <w:rFonts w:ascii="Arial" w:cs="Arial" w:eastAsia="Arial" w:hAnsi="Arial"/>
          <w:sz w:val="18"/>
          <w:szCs w:val="18"/>
          <w:color w:val="auto"/>
        </w:rPr>
        <w:t>The Company and its subsidiaries file income tax returns in the United States, at the federal level and in various states, and in foreign jurisdictions. The U.S. federal and state income tax returns are generally subject to tax examinations for the tax years ended December 31, 2017 onward.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FOXKISER LLP</w:t>
      </w:r>
    </w:p>
    <w:p>
      <w:pPr>
        <w:spacing w:after="0" w:line="117" w:lineRule="exact"/>
        <w:rPr>
          <w:sz w:val="20"/>
          <w:szCs w:val="20"/>
          <w:color w:val="auto"/>
        </w:rPr>
      </w:pPr>
    </w:p>
    <w:p>
      <w:pPr>
        <w:ind w:right="40" w:firstLine="382"/>
        <w:spacing w:after="0" w:line="289" w:lineRule="auto"/>
        <w:rPr>
          <w:sz w:val="20"/>
          <w:szCs w:val="20"/>
          <w:color w:val="auto"/>
        </w:rPr>
      </w:pPr>
      <w:r>
        <w:rPr>
          <w:rFonts w:ascii="Arial" w:cs="Arial" w:eastAsia="Arial" w:hAnsi="Arial"/>
          <w:sz w:val="16"/>
          <w:szCs w:val="16"/>
          <w:color w:val="auto"/>
        </w:rPr>
        <w:t>Since 2016, the Company has been party to professional services agreements with FOXKISER LLP (FOXKISER), an affiliate of certain stockholders of the Company and an affiliate of a member of the Company’s Board of Directors, pursuant to which the Company pays a fixed monthly fee in consideration for certain strategic services provided by FOXKISER. Effective January 2019, the Company entered into a new professional services agreement with FOXKISER with similar terms and conditions as the previous agreements. The agreement was amended effective June 2019 to expand the scope of the services provided and increase the monthly fee. Effective August 2020, the agreement was further amended to extend the term of the agreement by two years through December 2022. The agreement may be terminated by either party with six months’ advanced written notice. In December 2021, the Company provided notice of termination of the agreement to FOXKISER, with such termination to be effective in June 2022. Expenses incurred under the agreement with FOXKISER for the years ended December 31, 2021, 2020 and 2019 were $4.8 million, $4.8 million and $4.1 million, respectively, and were recorded as research and development expenses in the consolidated statements of operations and comprehensive income (loss).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(Loss) Per Share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computations of basic and diluted net income (loss) per share were as follows (in thousands, except per share data):</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9"/>
              </w:rPr>
              <w:t>Years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50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5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127,840</w:t>
            </w:r>
          </w:p>
        </w:tc>
        <w:tc>
          <w:tcPr>
            <w:tcW w:w="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(111,250)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(94,733)</w:t>
            </w:r>
          </w:p>
        </w:tc>
      </w:tr>
      <w:tr>
        <w:trPr>
          <w:trHeight w:val="229"/>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used in computation:</w:t>
            </w: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Weighted-average common shares outstanding</w:t>
            </w:r>
          </w:p>
        </w:tc>
        <w:tc>
          <w:tcPr>
            <w:tcW w:w="6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42,438</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36,690</w:t>
            </w:r>
          </w:p>
        </w:tc>
        <w:tc>
          <w:tcPr>
            <w:tcW w:w="120" w:type="dxa"/>
            <w:vAlign w:val="bottom"/>
            <w:tcBorders>
              <w:bottom w:val="single" w:sz="8" w:color="CFF0FC"/>
            </w:tcBorders>
          </w:tcPr>
          <w:p>
            <w:pPr>
              <w:spacing w:after="0"/>
              <w:rPr>
                <w:sz w:val="19"/>
                <w:szCs w:val="19"/>
                <w:color w:val="auto"/>
              </w:rPr>
            </w:pPr>
          </w:p>
        </w:tc>
      </w:tr>
      <w:tr>
        <w:trPr>
          <w:trHeight w:val="223"/>
        </w:trPr>
        <w:tc>
          <w:tcPr>
            <w:tcW w:w="4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 net income (loss) per share</w:t>
            </w:r>
          </w:p>
        </w:tc>
        <w:tc>
          <w:tcPr>
            <w:tcW w:w="6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5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127,840</w:t>
            </w:r>
          </w:p>
        </w:tc>
        <w:tc>
          <w:tcPr>
            <w:tcW w:w="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(111,250)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(94,733)</w:t>
            </w: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used in computation:</w:t>
            </w: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500" w:type="dxa"/>
            <w:vAlign w:val="bottom"/>
          </w:tcPr>
          <w:p>
            <w:pPr>
              <w:ind w:left="480"/>
              <w:spacing w:after="0"/>
              <w:rPr>
                <w:sz w:val="20"/>
                <w:szCs w:val="20"/>
                <w:color w:val="auto"/>
              </w:rPr>
            </w:pPr>
            <w:r>
              <w:rPr>
                <w:rFonts w:ascii="Arial" w:cs="Arial" w:eastAsia="Arial" w:hAnsi="Arial"/>
                <w:sz w:val="18"/>
                <w:szCs w:val="18"/>
                <w:color w:val="auto"/>
              </w:rPr>
              <w:t>Weighted-average common shares outstanding</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42,438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36,690</w:t>
            </w:r>
          </w:p>
        </w:tc>
        <w:tc>
          <w:tcPr>
            <w:tcW w:w="120" w:type="dxa"/>
            <w:vAlign w:val="bottom"/>
          </w:tcPr>
          <w:p>
            <w:pPr>
              <w:spacing w:after="0"/>
              <w:rPr>
                <w:sz w:val="19"/>
                <w:szCs w:val="19"/>
                <w:color w:val="auto"/>
              </w:rPr>
            </w:pPr>
          </w:p>
        </w:tc>
      </w:tr>
      <w:tr>
        <w:trPr>
          <w:trHeight w:val="230"/>
        </w:trPr>
        <w:tc>
          <w:tcPr>
            <w:tcW w:w="4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 options</w:t>
            </w: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Pr>
          <w:p>
            <w:pPr>
              <w:ind w:left="480"/>
              <w:spacing w:after="0"/>
              <w:rPr>
                <w:sz w:val="20"/>
                <w:szCs w:val="20"/>
                <w:color w:val="auto"/>
              </w:rPr>
            </w:pPr>
            <w:r>
              <w:rPr>
                <w:rFonts w:ascii="Arial" w:cs="Arial" w:eastAsia="Arial" w:hAnsi="Arial"/>
                <w:sz w:val="18"/>
                <w:szCs w:val="18"/>
                <w:color w:val="auto"/>
              </w:rPr>
              <w:t>Restricted stock units</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Employee stock purchase plan</w:t>
            </w: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Weighted-average diluted common shares</w:t>
            </w:r>
          </w:p>
        </w:tc>
        <w:tc>
          <w:tcPr>
            <w:tcW w:w="6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43,913</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37,281</w:t>
            </w:r>
          </w:p>
        </w:tc>
        <w:tc>
          <w:tcPr>
            <w:tcW w:w="2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36,690</w:t>
            </w:r>
          </w:p>
        </w:tc>
        <w:tc>
          <w:tcPr>
            <w:tcW w:w="120" w:type="dxa"/>
            <w:vAlign w:val="bottom"/>
            <w:tcBorders>
              <w:bottom w:val="single" w:sz="8" w:color="CFF0FC"/>
            </w:tcBorders>
          </w:tcPr>
          <w:p>
            <w:pPr>
              <w:spacing w:after="0"/>
              <w:rPr>
                <w:sz w:val="19"/>
                <w:szCs w:val="19"/>
                <w:color w:val="auto"/>
              </w:rPr>
            </w:pPr>
          </w:p>
        </w:tc>
      </w:tr>
      <w:tr>
        <w:trPr>
          <w:trHeight w:val="223"/>
        </w:trPr>
        <w:tc>
          <w:tcPr>
            <w:tcW w:w="4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 net income (loss) per share</w:t>
            </w:r>
          </w:p>
        </w:tc>
        <w:tc>
          <w:tcPr>
            <w:tcW w:w="6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For periods in which the Company incurred net losses, common stock equivalents were excluded from the calculation of diluted net loss per share as their effect would be anti-dilutive. Accordingly, basic and diluted net loss per share were the same for such periods. The following potentially dilutive common stock equivalents outstanding at the end of the period were excluded from the computations of weighted-average diluted common shares for the periods indicated as their effects would be anti-dilutive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jc w:val="right"/>
              <w:ind w:right="415"/>
              <w:spacing w:after="0" w:line="155" w:lineRule="exact"/>
              <w:rPr>
                <w:sz w:val="20"/>
                <w:szCs w:val="20"/>
                <w:color w:val="auto"/>
              </w:rPr>
            </w:pPr>
            <w:r>
              <w:rPr>
                <w:rFonts w:ascii="Arial" w:cs="Arial" w:eastAsia="Arial" w:hAnsi="Arial"/>
                <w:sz w:val="14"/>
                <w:szCs w:val="14"/>
                <w:b w:val="1"/>
                <w:bCs w:val="1"/>
                <w:color w:val="auto"/>
              </w:rPr>
              <w:t>2021</w:t>
            </w:r>
          </w:p>
        </w:tc>
        <w:tc>
          <w:tcPr>
            <w:tcW w:w="1480" w:type="dxa"/>
            <w:vAlign w:val="bottom"/>
            <w:gridSpan w:val="2"/>
          </w:tcPr>
          <w:p>
            <w:pPr>
              <w:jc w:val="right"/>
              <w:ind w:right="41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30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9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4,939</w:t>
            </w:r>
          </w:p>
        </w:tc>
        <w:tc>
          <w:tcPr>
            <w:tcW w:w="2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6,361</w:t>
            </w:r>
          </w:p>
        </w:tc>
        <w:tc>
          <w:tcPr>
            <w:tcW w:w="2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Unvested restricted stock units outstanding</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9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5,187</w:t>
            </w:r>
          </w:p>
        </w:tc>
        <w:tc>
          <w:tcPr>
            <w:tcW w:w="2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6,380</w:t>
            </w:r>
          </w:p>
        </w:tc>
        <w:tc>
          <w:tcPr>
            <w:tcW w:w="2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80" w:type="dxa"/>
            <w:vAlign w:val="bottom"/>
            <w:gridSpan w:val="2"/>
          </w:tcPr>
          <w:p>
            <w:pPr>
              <w:jc w:val="right"/>
              <w:ind w:right="1195"/>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w w:val="98"/>
              </w:rPr>
              <w:t>As of December 31,</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Accrued sublicense fees and royalties</w:t>
            </w:r>
          </w:p>
        </w:tc>
        <w:tc>
          <w:tcPr>
            <w:tcW w:w="1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23,483</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Accrued personnel costs</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19,849</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13,155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w w:val="94"/>
              </w:rPr>
              <w:t>Accrued external research and development expenses</w:t>
            </w:r>
          </w:p>
        </w:tc>
        <w:tc>
          <w:tcPr>
            <w:tcW w:w="1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Accrued income taxes payable</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11,325</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Accrued purchases of property and equipment</w:t>
            </w:r>
          </w:p>
        </w:tc>
        <w:tc>
          <w:tcPr>
            <w:tcW w:w="1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5,285</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4"/>
              </w:rPr>
              <w:t>Accrued external general and administrative expenses</w:t>
            </w: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3,642</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 and current liabilities</w:t>
            </w:r>
          </w:p>
        </w:tc>
        <w:tc>
          <w:tcPr>
            <w:tcW w:w="11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2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76,111</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80" w:type="dxa"/>
            <w:vAlign w:val="bottom"/>
            <w:vMerge w:val="restart"/>
          </w:tcPr>
          <w:p>
            <w:pPr>
              <w:jc w:val="right"/>
              <w:ind w:right="590"/>
              <w:spacing w:after="0"/>
              <w:rPr>
                <w:sz w:val="20"/>
                <w:szCs w:val="20"/>
                <w:color w:val="auto"/>
              </w:rPr>
            </w:pPr>
            <w:r>
              <w:rPr>
                <w:rFonts w:ascii="Arial" w:cs="Arial" w:eastAsia="Arial" w:hAnsi="Arial"/>
                <w:sz w:val="18"/>
                <w:szCs w:val="18"/>
                <w:color w:val="auto"/>
              </w:rPr>
              <w:t>123</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19"/>
        </w:trPr>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20" w:type="dxa"/>
            <w:vAlign w:val="bottom"/>
            <w:gridSpan w:val="19"/>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5"/>
        </w:trPr>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19"/>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1060" w:type="dxa"/>
            <w:vAlign w:val="bottom"/>
          </w:tcPr>
          <w:p>
            <w:pPr>
              <w:ind w:left="10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640" w:type="dxa"/>
            <w:vAlign w:val="bottom"/>
            <w:tcBorders>
              <w:bottom w:val="single" w:sz="8" w:color="0000EE"/>
            </w:tcBorders>
            <w:gridSpan w:val="13"/>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Restated Certificate of Incorporation</w:t>
              </w:r>
            </w:hyperlink>
          </w:p>
        </w:tc>
        <w:tc>
          <w:tcPr>
            <w:tcW w:w="3840" w:type="dxa"/>
            <w:vAlign w:val="bottom"/>
            <w:gridSpan w:val="2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6/7/21</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10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6480" w:type="dxa"/>
            <w:vAlign w:val="bottom"/>
            <w:gridSpan w:val="33"/>
          </w:tcPr>
          <w:p>
            <w:pPr>
              <w:spacing w:after="0"/>
              <w:rPr>
                <w:rFonts w:ascii="Arial" w:cs="Arial" w:eastAsia="Arial" w:hAnsi="Arial"/>
                <w:sz w:val="18"/>
                <w:szCs w:val="18"/>
                <w:color w:val="0000EE"/>
              </w:rPr>
            </w:pPr>
            <w:hyperlink r:id="rId156">
              <w:r>
                <w:rPr>
                  <w:rFonts w:ascii="Arial" w:cs="Arial" w:eastAsia="Arial" w:hAnsi="Arial"/>
                  <w:sz w:val="18"/>
                  <w:szCs w:val="18"/>
                  <w:color w:val="0000EE"/>
                </w:rPr>
                <w:t>Amended and Restated Bylaws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9/22/15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ind w:left="10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6480" w:type="dxa"/>
            <w:vAlign w:val="bottom"/>
            <w:gridSpan w:val="33"/>
          </w:tcPr>
          <w:p>
            <w:pPr>
              <w:spacing w:after="0"/>
              <w:rPr>
                <w:rFonts w:ascii="Arial" w:cs="Arial" w:eastAsia="Arial" w:hAnsi="Arial"/>
                <w:sz w:val="18"/>
                <w:szCs w:val="18"/>
                <w:color w:val="0000EE"/>
              </w:rPr>
            </w:pPr>
            <w:hyperlink r:id="rId157">
              <w:r>
                <w:rPr>
                  <w:rFonts w:ascii="Arial" w:cs="Arial" w:eastAsia="Arial" w:hAnsi="Arial"/>
                  <w:sz w:val="18"/>
                  <w:szCs w:val="18"/>
                  <w:color w:val="0000EE"/>
                </w:rPr>
                <w:t>Specimen stock certificate evidencing the shares of common stock</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8/17/15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10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4780" w:type="dxa"/>
            <w:vAlign w:val="bottom"/>
            <w:tcBorders>
              <w:top w:val="single" w:sz="8" w:color="0000EE"/>
            </w:tcBorders>
            <w:gridSpan w:val="20"/>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Description of Securities</w:t>
              </w:r>
            </w:hyperlink>
          </w:p>
        </w:tc>
        <w:tc>
          <w:tcPr>
            <w:tcW w:w="1700" w:type="dxa"/>
            <w:vAlign w:val="bottom"/>
            <w:gridSpan w:val="13"/>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4040" w:type="dxa"/>
            <w:vAlign w:val="bottom"/>
            <w:tcBorders>
              <w:bottom w:val="single" w:sz="8" w:color="0000EE"/>
            </w:tcBorders>
            <w:gridSpan w:val="17"/>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Form of Indemnity Agreement for directors and officers</w:t>
              </w:r>
            </w:hyperlink>
          </w:p>
        </w:tc>
        <w:tc>
          <w:tcPr>
            <w:tcW w:w="2440" w:type="dxa"/>
            <w:vAlign w:val="bottom"/>
            <w:gridSpan w:val="1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8/17/15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6480" w:type="dxa"/>
            <w:vAlign w:val="bottom"/>
            <w:gridSpan w:val="33"/>
          </w:tcPr>
          <w:p>
            <w:pPr>
              <w:spacing w:after="0"/>
              <w:rPr>
                <w:rFonts w:ascii="Arial" w:cs="Arial" w:eastAsia="Arial" w:hAnsi="Arial"/>
                <w:sz w:val="18"/>
                <w:szCs w:val="18"/>
                <w:color w:val="0000EE"/>
              </w:rPr>
            </w:pPr>
            <w:hyperlink r:id="rId159">
              <w:r>
                <w:rPr>
                  <w:rFonts w:ascii="Arial" w:cs="Arial" w:eastAsia="Arial" w:hAnsi="Arial"/>
                  <w:sz w:val="18"/>
                  <w:szCs w:val="18"/>
                  <w:color w:val="0000EE"/>
                </w:rPr>
                <w:t>2014 Stock Plan, as amended</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8/17/15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19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2015 Equity Incentive Plan</w:t>
              </w:r>
            </w:hyperlink>
          </w:p>
        </w:tc>
        <w:tc>
          <w:tcPr>
            <w:tcW w:w="140" w:type="dxa"/>
            <w:vAlign w:val="bottom"/>
            <w:tcBorders>
              <w:top w:val="single" w:sz="8" w:color="0000EE"/>
            </w:tcBorders>
          </w:tcPr>
          <w:p>
            <w:pPr>
              <w:spacing w:after="0"/>
              <w:rPr>
                <w:sz w:val="24"/>
                <w:szCs w:val="24"/>
                <w:color w:val="auto"/>
              </w:rPr>
            </w:pPr>
          </w:p>
        </w:tc>
        <w:tc>
          <w:tcPr>
            <w:tcW w:w="4380" w:type="dxa"/>
            <w:vAlign w:val="bottom"/>
            <w:gridSpan w:val="2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9/15/15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6480" w:type="dxa"/>
            <w:vAlign w:val="bottom"/>
            <w:gridSpan w:val="33"/>
          </w:tcPr>
          <w:p>
            <w:pPr>
              <w:spacing w:after="0"/>
              <w:rPr>
                <w:rFonts w:ascii="Arial" w:cs="Arial" w:eastAsia="Arial" w:hAnsi="Arial"/>
                <w:sz w:val="18"/>
                <w:szCs w:val="18"/>
                <w:color w:val="0000EE"/>
                <w:w w:val="98"/>
              </w:rPr>
            </w:pPr>
            <w:hyperlink r:id="rId161">
              <w:r>
                <w:rPr>
                  <w:rFonts w:ascii="Arial" w:cs="Arial" w:eastAsia="Arial" w:hAnsi="Arial"/>
                  <w:sz w:val="18"/>
                  <w:szCs w:val="18"/>
                  <w:color w:val="0000EE"/>
                  <w:w w:val="98"/>
                </w:rPr>
                <w:t>Form of Restricted Stock Unit Award Agreement for the 2015 Equity Incentive Plan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3/1/21</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548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Form of Stock Option Award Agreement for the 2015 Equity Incentive Plan</w:t>
              </w:r>
            </w:hyperlink>
          </w:p>
        </w:tc>
        <w:tc>
          <w:tcPr>
            <w:tcW w:w="580" w:type="dxa"/>
            <w:vAlign w:val="bottom"/>
            <w:tcBorders>
              <w:top w:val="single" w:sz="8" w:color="0000EE"/>
            </w:tcBorders>
            <w:gridSpan w:val="4"/>
          </w:tcPr>
          <w:p>
            <w:pPr>
              <w:spacing w:after="0"/>
              <w:rPr>
                <w:sz w:val="24"/>
                <w:szCs w:val="24"/>
                <w:color w:val="auto"/>
              </w:rPr>
            </w:pPr>
          </w:p>
        </w:tc>
        <w:tc>
          <w:tcPr>
            <w:tcW w:w="420" w:type="dxa"/>
            <w:vAlign w:val="bottom"/>
            <w:gridSpan w:val="8"/>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3/1/21</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6480" w:type="dxa"/>
            <w:vAlign w:val="bottom"/>
            <w:gridSpan w:val="33"/>
          </w:tcPr>
          <w:p>
            <w:pPr>
              <w:spacing w:after="0"/>
              <w:rPr>
                <w:rFonts w:ascii="Arial" w:cs="Arial" w:eastAsia="Arial" w:hAnsi="Arial"/>
                <w:sz w:val="18"/>
                <w:szCs w:val="18"/>
                <w:color w:val="0000EE"/>
              </w:rPr>
            </w:pPr>
            <w:hyperlink r:id="rId163">
              <w:r>
                <w:rPr>
                  <w:rFonts w:ascii="Arial" w:cs="Arial" w:eastAsia="Arial" w:hAnsi="Arial"/>
                  <w:sz w:val="18"/>
                  <w:szCs w:val="18"/>
                  <w:color w:val="0000EE"/>
                </w:rPr>
                <w:t>2015 Employee Stock Purchase Plan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9/8/15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4"/>
                <w:szCs w:val="24"/>
                <w:color w:val="auto"/>
              </w:rPr>
            </w:pPr>
          </w:p>
        </w:tc>
        <w:tc>
          <w:tcPr>
            <w:tcW w:w="5880" w:type="dxa"/>
            <w:vAlign w:val="bottom"/>
            <w:tcBorders>
              <w:bottom w:val="single" w:sz="8" w:color="0000EE"/>
            </w:tcBorders>
            <w:gridSpan w:val="22"/>
          </w:tcPr>
          <w:p>
            <w:pPr>
              <w:spacing w:after="0"/>
              <w:rPr>
                <w:rFonts w:ascii="Arial" w:cs="Arial" w:eastAsia="Arial" w:hAnsi="Arial"/>
                <w:sz w:val="18"/>
                <w:szCs w:val="18"/>
                <w:color w:val="0000EE"/>
                <w:w w:val="89"/>
              </w:rPr>
            </w:pPr>
            <w:hyperlink r:id="rId164">
              <w:r>
                <w:rPr>
                  <w:rFonts w:ascii="Arial" w:cs="Arial" w:eastAsia="Arial" w:hAnsi="Arial"/>
                  <w:sz w:val="18"/>
                  <w:szCs w:val="18"/>
                  <w:color w:val="0000EE"/>
                  <w:w w:val="89"/>
                </w:rPr>
                <w:t>Employment Agreement effective as of June 30, 2015 between the Registrant and</w:t>
              </w:r>
            </w:hyperlink>
          </w:p>
        </w:tc>
        <w:tc>
          <w:tcPr>
            <w:tcW w:w="60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8/17/15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Kenneth T. Mills</w:t>
              </w:r>
            </w:hyperlink>
          </w:p>
        </w:tc>
        <w:tc>
          <w:tcPr>
            <w:tcW w:w="5260" w:type="dxa"/>
            <w:vAlign w:val="bottom"/>
            <w:gridSpan w:val="29"/>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6480" w:type="dxa"/>
            <w:vAlign w:val="bottom"/>
            <w:gridSpan w:val="33"/>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Employment Agreement effective as of June 30, 2015 between the Registrant and Vittal</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8/17/15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Vasista</w:t>
              </w:r>
            </w:hyperlink>
          </w:p>
        </w:tc>
        <w:tc>
          <w:tcPr>
            <w:tcW w:w="1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6200" w:type="dxa"/>
            <w:vAlign w:val="bottom"/>
            <w:tcBorders>
              <w:bottom w:val="single" w:sz="8" w:color="0000EE"/>
            </w:tcBorders>
            <w:gridSpan w:val="27"/>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Employment Agreement effective as of February 16, 2016 between the Registrant and</w:t>
              </w:r>
            </w:hyperlink>
          </w:p>
        </w:tc>
        <w:tc>
          <w:tcPr>
            <w:tcW w:w="2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10.34</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3/3/16</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80" w:type="dxa"/>
            <w:vAlign w:val="bottom"/>
            <w:gridSpan w:val="33"/>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Curran Simpson</w:t>
              </w:r>
            </w:hyperlink>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24"/>
                <w:szCs w:val="24"/>
                <w:color w:val="auto"/>
              </w:rPr>
            </w:pPr>
          </w:p>
        </w:tc>
        <w:tc>
          <w:tcPr>
            <w:tcW w:w="6480" w:type="dxa"/>
            <w:vAlign w:val="bottom"/>
            <w:gridSpan w:val="33"/>
          </w:tcPr>
          <w:p>
            <w:pPr>
              <w:spacing w:after="0"/>
              <w:rPr>
                <w:rFonts w:ascii="Arial" w:cs="Arial" w:eastAsia="Arial" w:hAnsi="Arial"/>
                <w:sz w:val="18"/>
                <w:szCs w:val="18"/>
                <w:color w:val="0000EE"/>
                <w:w w:val="96"/>
              </w:rPr>
            </w:pPr>
            <w:hyperlink r:id="rId167">
              <w:r>
                <w:rPr>
                  <w:rFonts w:ascii="Arial" w:cs="Arial" w:eastAsia="Arial" w:hAnsi="Arial"/>
                  <w:sz w:val="18"/>
                  <w:szCs w:val="18"/>
                  <w:color w:val="0000EE"/>
                  <w:w w:val="96"/>
                </w:rPr>
                <w:t>Employment Agreement effective as of August 18, 2016 between the Registrant and</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10.37</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11/9/16</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67">
              <w:r>
                <w:rPr>
                  <w:rFonts w:ascii="Arial" w:cs="Arial" w:eastAsia="Arial" w:hAnsi="Arial"/>
                  <w:sz w:val="18"/>
                  <w:szCs w:val="18"/>
                  <w:color w:val="0000EE"/>
                  <w:w w:val="88"/>
                </w:rPr>
                <w:t>Patrick J. Christmas</w:t>
              </w:r>
            </w:hyperlink>
          </w:p>
        </w:tc>
        <w:tc>
          <w:tcPr>
            <w:tcW w:w="4620" w:type="dxa"/>
            <w:vAlign w:val="bottom"/>
            <w:tcBorders>
              <w:top w:val="single" w:sz="8" w:color="0000EE"/>
            </w:tcBorders>
            <w:gridSpan w:val="20"/>
          </w:tcPr>
          <w:p>
            <w:pPr>
              <w:spacing w:after="0"/>
              <w:rPr>
                <w:sz w:val="17"/>
                <w:szCs w:val="17"/>
                <w:color w:val="auto"/>
              </w:rPr>
            </w:pPr>
          </w:p>
        </w:tc>
        <w:tc>
          <w:tcPr>
            <w:tcW w:w="42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4"/>
                <w:szCs w:val="24"/>
                <w:color w:val="auto"/>
              </w:rPr>
            </w:pPr>
          </w:p>
        </w:tc>
        <w:tc>
          <w:tcPr>
            <w:tcW w:w="6020" w:type="dxa"/>
            <w:vAlign w:val="bottom"/>
            <w:tcBorders>
              <w:bottom w:val="single" w:sz="8" w:color="0000EE"/>
            </w:tcBorders>
            <w:gridSpan w:val="24"/>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Employment Agreement effective as of March 27, 2017 between the Registrant and</w:t>
              </w:r>
            </w:hyperlink>
          </w:p>
        </w:tc>
        <w:tc>
          <w:tcPr>
            <w:tcW w:w="460" w:type="dxa"/>
            <w:vAlign w:val="bottom"/>
            <w:gridSpan w:val="9"/>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5/9/17</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80" w:type="dxa"/>
            <w:vAlign w:val="bottom"/>
            <w:gridSpan w:val="3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Olivier Danos, Ph.D.</w:t>
              </w:r>
            </w:hyperlink>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6380" w:type="dxa"/>
            <w:vAlign w:val="bottom"/>
            <w:tcBorders>
              <w:bottom w:val="single" w:sz="8" w:color="0000EE"/>
            </w:tcBorders>
            <w:gridSpan w:val="29"/>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Employment Agreement effective as of April 17, 2019 between the Registrant and Steve</w:t>
              </w:r>
            </w:hyperlink>
          </w:p>
        </w:tc>
        <w:tc>
          <w:tcPr>
            <w:tcW w:w="100" w:type="dxa"/>
            <w:vAlign w:val="bottom"/>
            <w:gridSpan w:val="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5/7/19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Pakola, M.D.</w:t>
              </w:r>
            </w:hyperlink>
          </w:p>
        </w:tc>
        <w:tc>
          <w:tcPr>
            <w:tcW w:w="5520" w:type="dxa"/>
            <w:vAlign w:val="bottom"/>
            <w:gridSpan w:val="31"/>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3820" w:type="dxa"/>
            <w:vAlign w:val="bottom"/>
            <w:tcBorders>
              <w:bottom w:val="single" w:sz="8" w:color="0000EE"/>
            </w:tcBorders>
            <w:gridSpan w:val="16"/>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Compensation Program for Non-Employee Directors</w:t>
              </w:r>
            </w:hyperlink>
          </w:p>
        </w:tc>
        <w:tc>
          <w:tcPr>
            <w:tcW w:w="2660" w:type="dxa"/>
            <w:vAlign w:val="bottom"/>
            <w:gridSpan w:val="1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11/4/20</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2440" w:type="dxa"/>
            <w:vAlign w:val="bottom"/>
            <w:tcBorders>
              <w:bottom w:val="single" w:sz="8" w:color="0000EE"/>
            </w:tcBorders>
            <w:gridSpan w:val="12"/>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Management Cash Incentive Plan</w:t>
              </w:r>
            </w:hyperlink>
          </w:p>
        </w:tc>
        <w:tc>
          <w:tcPr>
            <w:tcW w:w="4040" w:type="dxa"/>
            <w:vAlign w:val="bottom"/>
            <w:gridSpan w:val="21"/>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10.29</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8/17/15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6420" w:type="dxa"/>
            <w:vAlign w:val="bottom"/>
            <w:tcBorders>
              <w:bottom w:val="single" w:sz="8" w:color="0000EE"/>
            </w:tcBorders>
            <w:gridSpan w:val="30"/>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License Agreement effective February 24, 2009 between the Registrant and The Trustees</w:t>
              </w:r>
            </w:hyperlink>
          </w:p>
        </w:tc>
        <w:tc>
          <w:tcPr>
            <w:tcW w:w="6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9/15/15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of the University of Pennsylvania</w:t>
              </w:r>
            </w:hyperlink>
          </w:p>
        </w:tc>
        <w:tc>
          <w:tcPr>
            <w:tcW w:w="406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6440" w:type="dxa"/>
            <w:vAlign w:val="bottom"/>
            <w:tcBorders>
              <w:bottom w:val="single" w:sz="8" w:color="0000EE"/>
            </w:tcBorders>
            <w:gridSpan w:val="31"/>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First Amendment to License Agreement dated March 6, 2009 between the Registrant and</w:t>
              </w:r>
            </w:hyperlink>
          </w:p>
        </w:tc>
        <w:tc>
          <w:tcPr>
            <w:tcW w:w="4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8/17/15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80" w:type="dxa"/>
            <w:vAlign w:val="bottom"/>
            <w:gridSpan w:val="33"/>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The Trustees of the University of Pennsylvania</w:t>
              </w:r>
            </w:hyperlink>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gridSpan w:val="1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6080" w:type="dxa"/>
            <w:vAlign w:val="bottom"/>
            <w:tcBorders>
              <w:bottom w:val="single" w:sz="8" w:color="0000EE"/>
            </w:tcBorders>
            <w:gridSpan w:val="26"/>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Second Amendment to License Agreement effective September 9, 2014 between the</w:t>
              </w:r>
            </w:hyperlink>
          </w:p>
        </w:tc>
        <w:tc>
          <w:tcPr>
            <w:tcW w:w="40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10.11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9/15/15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Registrant and The Trustees of the University of Pennsylvania</w:t>
              </w:r>
            </w:hyperlink>
          </w:p>
        </w:tc>
        <w:tc>
          <w:tcPr>
            <w:tcW w:w="19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24"/>
                <w:szCs w:val="24"/>
                <w:color w:val="auto"/>
              </w:rPr>
            </w:pPr>
          </w:p>
        </w:tc>
        <w:tc>
          <w:tcPr>
            <w:tcW w:w="6440" w:type="dxa"/>
            <w:vAlign w:val="bottom"/>
            <w:tcBorders>
              <w:bottom w:val="single" w:sz="8" w:color="0000EE"/>
            </w:tcBorders>
            <w:gridSpan w:val="31"/>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Third Amendment to License Agreement effective April 29, 2016 between the Registrant</w:t>
              </w:r>
            </w:hyperlink>
          </w:p>
        </w:tc>
        <w:tc>
          <w:tcPr>
            <w:tcW w:w="4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8"/>
              </w:rPr>
              <w:t>10-Q/A</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8"/>
              </w:rPr>
              <w:t>10.36</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12/23/16</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and The Trustees of the University of Pennsylvania</w:t>
              </w:r>
            </w:hyperlink>
          </w:p>
        </w:tc>
        <w:tc>
          <w:tcPr>
            <w:tcW w:w="278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24"/>
                <w:szCs w:val="24"/>
                <w:color w:val="auto"/>
              </w:rPr>
            </w:pPr>
          </w:p>
        </w:tc>
        <w:tc>
          <w:tcPr>
            <w:tcW w:w="6420" w:type="dxa"/>
            <w:vAlign w:val="bottom"/>
            <w:tcBorders>
              <w:bottom w:val="single" w:sz="8" w:color="0000EE"/>
            </w:tcBorders>
            <w:gridSpan w:val="30"/>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Fourth Amendment to License Agreement effective April 4, 2019 between the Registrant</w:t>
              </w:r>
            </w:hyperlink>
          </w:p>
        </w:tc>
        <w:tc>
          <w:tcPr>
            <w:tcW w:w="6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5/7/19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and The Trustees of the University of Pennsylvania</w:t>
              </w:r>
            </w:hyperlink>
          </w:p>
        </w:tc>
        <w:tc>
          <w:tcPr>
            <w:tcW w:w="278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24"/>
                <w:szCs w:val="24"/>
                <w:color w:val="auto"/>
              </w:rPr>
            </w:pPr>
          </w:p>
        </w:tc>
        <w:tc>
          <w:tcPr>
            <w:tcW w:w="5980" w:type="dxa"/>
            <w:vAlign w:val="bottom"/>
            <w:tcBorders>
              <w:bottom w:val="single" w:sz="8" w:color="0000EE"/>
            </w:tcBorders>
            <w:gridSpan w:val="23"/>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Fifth Amendment to License Agreement effective September 11, 2020 between the</w:t>
              </w:r>
            </w:hyperlink>
          </w:p>
        </w:tc>
        <w:tc>
          <w:tcPr>
            <w:tcW w:w="50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11/4/20</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Registrant and The Trustees of the University of Pennsylvania</w:t>
              </w:r>
            </w:hyperlink>
          </w:p>
        </w:tc>
        <w:tc>
          <w:tcPr>
            <w:tcW w:w="200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060" w:type="dxa"/>
            <w:vAlign w:val="bottom"/>
          </w:tcPr>
          <w:p>
            <w:pPr>
              <w:spacing w:after="0"/>
              <w:rPr>
                <w:sz w:val="24"/>
                <w:szCs w:val="24"/>
                <w:color w:val="auto"/>
              </w:rPr>
            </w:pPr>
          </w:p>
        </w:tc>
        <w:tc>
          <w:tcPr>
            <w:tcW w:w="4840" w:type="dxa"/>
            <w:vAlign w:val="bottom"/>
            <w:gridSpan w:val="21"/>
          </w:tcPr>
          <w:p>
            <w:pPr>
              <w:jc w:val="right"/>
              <w:ind w:right="140"/>
              <w:spacing w:after="0"/>
              <w:rPr>
                <w:sz w:val="20"/>
                <w:szCs w:val="20"/>
                <w:color w:val="auto"/>
              </w:rPr>
            </w:pPr>
            <w:r>
              <w:rPr>
                <w:rFonts w:ascii="Arial" w:cs="Arial" w:eastAsia="Arial" w:hAnsi="Arial"/>
                <w:sz w:val="18"/>
                <w:szCs w:val="18"/>
                <w:color w:val="auto"/>
              </w:rPr>
              <w:t>124</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60" w:type="dxa"/>
            <w:vAlign w:val="bottom"/>
            <w:gridSpan w:val="26"/>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060" w:type="dxa"/>
            <w:vAlign w:val="bottom"/>
          </w:tcPr>
          <w:p>
            <w:pPr>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24"/>
                <w:szCs w:val="24"/>
                <w:color w:val="auto"/>
              </w:rPr>
            </w:pPr>
          </w:p>
        </w:tc>
        <w:tc>
          <w:tcPr>
            <w:tcW w:w="6440" w:type="dxa"/>
            <w:vAlign w:val="bottom"/>
            <w:gridSpan w:val="34"/>
          </w:tcPr>
          <w:p>
            <w:pPr>
              <w:spacing w:after="0"/>
              <w:rPr>
                <w:rFonts w:ascii="Arial" w:cs="Arial" w:eastAsia="Arial" w:hAnsi="Arial"/>
                <w:sz w:val="18"/>
                <w:szCs w:val="18"/>
                <w:color w:val="0000EE"/>
              </w:rPr>
            </w:pPr>
            <w:hyperlink r:id="rId179">
              <w:r>
                <w:rPr>
                  <w:rFonts w:ascii="Arial" w:cs="Arial" w:eastAsia="Arial" w:hAnsi="Arial"/>
                  <w:sz w:val="18"/>
                  <w:szCs w:val="18"/>
                  <w:color w:val="0000EE"/>
                </w:rPr>
                <w:t>License Agreement dated March 6, 2009 between the Registrant and SmithKline</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Beecham Corporation d/b/a GlaxoSmithKline</w:t>
              </w:r>
            </w:hyperlink>
          </w:p>
        </w:tc>
        <w:tc>
          <w:tcPr>
            <w:tcW w:w="2500" w:type="dxa"/>
            <w:vAlign w:val="bottom"/>
            <w:tcBorders>
              <w:top w:val="single" w:sz="8" w:color="0000EE"/>
            </w:tcBorders>
            <w:gridSpan w:val="5"/>
          </w:tcPr>
          <w:p>
            <w:pPr>
              <w:spacing w:after="0"/>
              <w:rPr>
                <w:sz w:val="17"/>
                <w:szCs w:val="17"/>
                <w:color w:val="auto"/>
              </w:rPr>
            </w:pPr>
          </w:p>
        </w:tc>
        <w:tc>
          <w:tcPr>
            <w:tcW w:w="6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10.22</w:t>
            </w:r>
          </w:p>
        </w:tc>
        <w:tc>
          <w:tcPr>
            <w:tcW w:w="60" w:type="dxa"/>
            <w:vAlign w:val="bottom"/>
          </w:tcPr>
          <w:p>
            <w:pPr>
              <w:spacing w:after="0"/>
              <w:rPr>
                <w:sz w:val="24"/>
                <w:szCs w:val="24"/>
                <w:color w:val="auto"/>
              </w:rPr>
            </w:pPr>
          </w:p>
        </w:tc>
        <w:tc>
          <w:tcPr>
            <w:tcW w:w="6060" w:type="dxa"/>
            <w:vAlign w:val="bottom"/>
            <w:tcBorders>
              <w:bottom w:val="single" w:sz="8" w:color="0000EE"/>
            </w:tcBorders>
            <w:gridSpan w:val="25"/>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Amendment to License Agreement dated April 15, 2009 between the Registrant and</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SmithKline Beecham Corporation d/b/a GlaxoSmithKline</w:t>
              </w:r>
            </w:hyperlink>
          </w:p>
        </w:tc>
        <w:tc>
          <w:tcPr>
            <w:tcW w:w="22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10.23†</w:t>
            </w:r>
          </w:p>
        </w:tc>
        <w:tc>
          <w:tcPr>
            <w:tcW w:w="60" w:type="dxa"/>
            <w:vAlign w:val="bottom"/>
          </w:tcPr>
          <w:p>
            <w:pPr>
              <w:spacing w:after="0"/>
              <w:rPr>
                <w:sz w:val="24"/>
                <w:szCs w:val="24"/>
                <w:color w:val="auto"/>
              </w:rPr>
            </w:pPr>
          </w:p>
        </w:tc>
        <w:tc>
          <w:tcPr>
            <w:tcW w:w="5980" w:type="dxa"/>
            <w:vAlign w:val="bottom"/>
            <w:tcBorders>
              <w:bottom w:val="single" w:sz="8" w:color="0000EE"/>
            </w:tcBorders>
            <w:gridSpan w:val="21"/>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License Agreement dated March 21, 2014 between the Registrant and AveXis, Inc.</w:t>
              </w:r>
            </w:hyperlink>
          </w:p>
        </w:tc>
        <w:tc>
          <w:tcPr>
            <w:tcW w:w="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10.24†</w:t>
            </w:r>
          </w:p>
        </w:tc>
        <w:tc>
          <w:tcPr>
            <w:tcW w:w="60" w:type="dxa"/>
            <w:vAlign w:val="bottom"/>
          </w:tcPr>
          <w:p>
            <w:pPr>
              <w:spacing w:after="0"/>
              <w:rPr>
                <w:sz w:val="24"/>
                <w:szCs w:val="24"/>
                <w:color w:val="auto"/>
              </w:rPr>
            </w:pPr>
          </w:p>
        </w:tc>
        <w:tc>
          <w:tcPr>
            <w:tcW w:w="6220" w:type="dxa"/>
            <w:vAlign w:val="bottom"/>
            <w:tcBorders>
              <w:bottom w:val="single" w:sz="8" w:color="0000EE"/>
            </w:tcBorders>
            <w:gridSpan w:val="29"/>
          </w:tcPr>
          <w:p>
            <w:pPr>
              <w:spacing w:after="0"/>
              <w:rPr>
                <w:rFonts w:ascii="Arial" w:cs="Arial" w:eastAsia="Arial" w:hAnsi="Arial"/>
                <w:sz w:val="18"/>
                <w:szCs w:val="18"/>
                <w:color w:val="0000EE"/>
                <w:w w:val="89"/>
              </w:rPr>
            </w:pPr>
            <w:hyperlink r:id="rId182">
              <w:r>
                <w:rPr>
                  <w:rFonts w:ascii="Arial" w:cs="Arial" w:eastAsia="Arial" w:hAnsi="Arial"/>
                  <w:sz w:val="18"/>
                  <w:szCs w:val="18"/>
                  <w:color w:val="0000EE"/>
                  <w:w w:val="89"/>
                </w:rPr>
                <w:t>First Amendment to License Agreement dated January 8, 2018 between the Registrant</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40" w:type="dxa"/>
            <w:vAlign w:val="bottom"/>
            <w:gridSpan w:val="34"/>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and AveXis, Inc.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10.25†</w:t>
            </w:r>
          </w:p>
        </w:tc>
        <w:tc>
          <w:tcPr>
            <w:tcW w:w="60" w:type="dxa"/>
            <w:vAlign w:val="bottom"/>
          </w:tcPr>
          <w:p>
            <w:pPr>
              <w:spacing w:after="0"/>
              <w:rPr>
                <w:sz w:val="24"/>
                <w:szCs w:val="24"/>
                <w:color w:val="auto"/>
              </w:rPr>
            </w:pPr>
          </w:p>
        </w:tc>
        <w:tc>
          <w:tcPr>
            <w:tcW w:w="6360" w:type="dxa"/>
            <w:vAlign w:val="bottom"/>
            <w:tcBorders>
              <w:bottom w:val="single" w:sz="8" w:color="0000EE"/>
            </w:tcBorders>
            <w:gridSpan w:val="31"/>
          </w:tcPr>
          <w:p>
            <w:pPr>
              <w:spacing w:after="0"/>
              <w:rPr>
                <w:rFonts w:ascii="Arial" w:cs="Arial" w:eastAsia="Arial" w:hAnsi="Arial"/>
                <w:sz w:val="18"/>
                <w:szCs w:val="18"/>
                <w:color w:val="0000EE"/>
                <w:w w:val="89"/>
              </w:rPr>
            </w:pPr>
            <w:hyperlink r:id="rId183">
              <w:r>
                <w:rPr>
                  <w:rFonts w:ascii="Arial" w:cs="Arial" w:eastAsia="Arial" w:hAnsi="Arial"/>
                  <w:sz w:val="18"/>
                  <w:szCs w:val="18"/>
                  <w:color w:val="0000EE"/>
                  <w:w w:val="89"/>
                </w:rPr>
                <w:t>Collaboration and License Agreement dated September 10, 2021 between the Registrant</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40" w:type="dxa"/>
            <w:vAlign w:val="bottom"/>
            <w:gridSpan w:val="34"/>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and AbbVie Global Enterprises Ltd.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24"/>
                <w:szCs w:val="24"/>
                <w:color w:val="auto"/>
              </w:rPr>
            </w:pPr>
          </w:p>
        </w:tc>
        <w:tc>
          <w:tcPr>
            <w:tcW w:w="6420" w:type="dxa"/>
            <w:vAlign w:val="bottom"/>
            <w:tcBorders>
              <w:bottom w:val="single" w:sz="8" w:color="0000EE"/>
            </w:tcBorders>
            <w:gridSpan w:val="33"/>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Lease dated March 6, 2015 between the Registrant and BMR-Medical Center Drive LLC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24"/>
                <w:szCs w:val="24"/>
                <w:color w:val="auto"/>
              </w:rPr>
            </w:pPr>
          </w:p>
        </w:tc>
        <w:tc>
          <w:tcPr>
            <w:tcW w:w="6340" w:type="dxa"/>
            <w:vAlign w:val="bottom"/>
            <w:tcBorders>
              <w:bottom w:val="single" w:sz="8" w:color="0000EE"/>
            </w:tcBorders>
            <w:gridSpan w:val="30"/>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First Amendment to Lease dated September 30, 2015 between the Registrant and BMR-</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85">
              <w:r>
                <w:rPr>
                  <w:rFonts w:ascii="Arial" w:cs="Arial" w:eastAsia="Arial" w:hAnsi="Arial"/>
                  <w:sz w:val="18"/>
                  <w:szCs w:val="18"/>
                  <w:color w:val="0000EE"/>
                  <w:w w:val="94"/>
                </w:rPr>
                <w:t>Medical Center Drive LLC</w:t>
              </w:r>
            </w:hyperlink>
          </w:p>
        </w:tc>
        <w:tc>
          <w:tcPr>
            <w:tcW w:w="44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24"/>
                <w:szCs w:val="24"/>
                <w:color w:val="auto"/>
              </w:rPr>
            </w:pPr>
          </w:p>
        </w:tc>
        <w:tc>
          <w:tcPr>
            <w:tcW w:w="6440" w:type="dxa"/>
            <w:vAlign w:val="bottom"/>
            <w:gridSpan w:val="34"/>
          </w:tcPr>
          <w:p>
            <w:pPr>
              <w:spacing w:after="0"/>
              <w:rPr>
                <w:rFonts w:ascii="Arial" w:cs="Arial" w:eastAsia="Arial" w:hAnsi="Arial"/>
                <w:sz w:val="18"/>
                <w:szCs w:val="18"/>
                <w:color w:val="0000EE"/>
                <w:w w:val="95"/>
              </w:rPr>
            </w:pPr>
            <w:hyperlink r:id="rId186">
              <w:r>
                <w:rPr>
                  <w:rFonts w:ascii="Arial" w:cs="Arial" w:eastAsia="Arial" w:hAnsi="Arial"/>
                  <w:sz w:val="18"/>
                  <w:szCs w:val="18"/>
                  <w:color w:val="0000EE"/>
                  <w:w w:val="95"/>
                </w:rPr>
                <w:t>Second Amendment to Lease dated November 23, 2015 between the Registrant and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BMR-Medical Center Drive LLC</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24"/>
                <w:szCs w:val="24"/>
                <w:color w:val="auto"/>
              </w:rPr>
            </w:pPr>
          </w:p>
        </w:tc>
        <w:tc>
          <w:tcPr>
            <w:tcW w:w="5960" w:type="dxa"/>
            <w:vAlign w:val="bottom"/>
            <w:tcBorders>
              <w:bottom w:val="single" w:sz="8" w:color="0000EE"/>
            </w:tcBorders>
            <w:gridSpan w:val="20"/>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Third Amendment to Lease dated July 21, 2017 between the Registrant and BMR-</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87">
              <w:r>
                <w:rPr>
                  <w:rFonts w:ascii="Arial" w:cs="Arial" w:eastAsia="Arial" w:hAnsi="Arial"/>
                  <w:sz w:val="18"/>
                  <w:szCs w:val="18"/>
                  <w:color w:val="0000EE"/>
                  <w:w w:val="94"/>
                </w:rPr>
                <w:t>Medical Center Drive LLC</w:t>
              </w:r>
            </w:hyperlink>
          </w:p>
        </w:tc>
        <w:tc>
          <w:tcPr>
            <w:tcW w:w="44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24"/>
                <w:szCs w:val="24"/>
                <w:color w:val="auto"/>
              </w:rPr>
            </w:pPr>
          </w:p>
        </w:tc>
        <w:tc>
          <w:tcPr>
            <w:tcW w:w="6100" w:type="dxa"/>
            <w:vAlign w:val="bottom"/>
            <w:tcBorders>
              <w:bottom w:val="single" w:sz="8" w:color="0000EE"/>
            </w:tcBorders>
            <w:gridSpan w:val="26"/>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Fourth Amendment to Lease dated April 20, 2018 between the Registrant and BMR-</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40" w:type="dxa"/>
            <w:vAlign w:val="bottom"/>
            <w:gridSpan w:val="34"/>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Medical Center Drive LLC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24"/>
                <w:szCs w:val="24"/>
                <w:color w:val="auto"/>
              </w:rPr>
            </w:pPr>
          </w:p>
        </w:tc>
        <w:tc>
          <w:tcPr>
            <w:tcW w:w="6440" w:type="dxa"/>
            <w:vAlign w:val="bottom"/>
            <w:gridSpan w:val="34"/>
          </w:tcPr>
          <w:p>
            <w:pPr>
              <w:spacing w:after="0"/>
              <w:rPr>
                <w:rFonts w:ascii="Arial" w:cs="Arial" w:eastAsia="Arial" w:hAnsi="Arial"/>
                <w:sz w:val="18"/>
                <w:szCs w:val="18"/>
                <w:color w:val="0000EE"/>
                <w:w w:val="94"/>
              </w:rPr>
            </w:pPr>
            <w:hyperlink r:id="rId189">
              <w:r>
                <w:rPr>
                  <w:rFonts w:ascii="Arial" w:cs="Arial" w:eastAsia="Arial" w:hAnsi="Arial"/>
                  <w:sz w:val="18"/>
                  <w:szCs w:val="18"/>
                  <w:color w:val="0000EE"/>
                  <w:w w:val="94"/>
                </w:rPr>
                <w:t>Fifth Amendment to Lease dated October 30, 2020 between the Registrant and ARE-</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Maryland No. 45, LLC, as successor in interest to BMR-Medical Center Drive LLC</w:t>
              </w:r>
            </w:hyperlink>
          </w:p>
        </w:tc>
        <w:tc>
          <w:tcPr>
            <w:tcW w:w="80" w:type="dxa"/>
            <w:vAlign w:val="bottom"/>
            <w:tcBorders>
              <w:top w:val="single" w:sz="8" w:color="0000EE"/>
            </w:tcBorders>
            <w:gridSpan w:val="3"/>
          </w:tcPr>
          <w:p>
            <w:pPr>
              <w:spacing w:after="0"/>
              <w:rPr>
                <w:sz w:val="17"/>
                <w:szCs w:val="17"/>
                <w:color w:val="auto"/>
              </w:rPr>
            </w:pPr>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24"/>
                <w:szCs w:val="24"/>
                <w:color w:val="auto"/>
              </w:rPr>
            </w:pPr>
          </w:p>
        </w:tc>
        <w:tc>
          <w:tcPr>
            <w:tcW w:w="6440" w:type="dxa"/>
            <w:vAlign w:val="bottom"/>
            <w:gridSpan w:val="34"/>
          </w:tcPr>
          <w:p>
            <w:pPr>
              <w:spacing w:after="0"/>
              <w:rPr>
                <w:rFonts w:ascii="Arial" w:cs="Arial" w:eastAsia="Arial" w:hAnsi="Arial"/>
                <w:sz w:val="18"/>
                <w:szCs w:val="18"/>
                <w:color w:val="0000EE"/>
                <w:w w:val="96"/>
              </w:rPr>
            </w:pPr>
            <w:hyperlink r:id="rId190">
              <w:r>
                <w:rPr>
                  <w:rFonts w:ascii="Arial" w:cs="Arial" w:eastAsia="Arial" w:hAnsi="Arial"/>
                  <w:sz w:val="18"/>
                  <w:szCs w:val="18"/>
                  <w:color w:val="0000EE"/>
                  <w:w w:val="96"/>
                </w:rPr>
                <w:t>Lease dated May 16, 2016 between the Registrant and 400 Madison Holdings, LLC</w:t>
              </w:r>
            </w:hyperlink>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24"/>
                <w:szCs w:val="24"/>
                <w:color w:val="auto"/>
              </w:rPr>
            </w:pPr>
          </w:p>
        </w:tc>
        <w:tc>
          <w:tcPr>
            <w:tcW w:w="54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r:id="rId191">
              <w:r>
                <w:rPr>
                  <w:rFonts w:ascii="Arial" w:cs="Arial" w:eastAsia="Arial" w:hAnsi="Arial"/>
                  <w:sz w:val="18"/>
                  <w:szCs w:val="18"/>
                  <w:color w:val="0000EE"/>
                  <w:w w:val="89"/>
                </w:rPr>
                <w:t>First Amendment to Lease dated May 28, 2019 between the Registrant and</w:t>
              </w:r>
            </w:hyperlink>
          </w:p>
        </w:tc>
        <w:tc>
          <w:tcPr>
            <w:tcW w:w="620" w:type="dxa"/>
            <w:vAlign w:val="bottom"/>
            <w:tcBorders>
              <w:top w:val="single" w:sz="8" w:color="0000EE"/>
            </w:tcBorders>
            <w:gridSpan w:val="10"/>
          </w:tcPr>
          <w:p>
            <w:pPr>
              <w:spacing w:after="0"/>
              <w:rPr>
                <w:sz w:val="24"/>
                <w:szCs w:val="24"/>
                <w:color w:val="auto"/>
              </w:rPr>
            </w:pPr>
          </w:p>
        </w:tc>
        <w:tc>
          <w:tcPr>
            <w:tcW w:w="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DS400OWNER, LLC, as successor-in-interest to 400 Madison Holdings, LLC</w:t>
              </w:r>
            </w:hyperlink>
          </w:p>
        </w:tc>
        <w:tc>
          <w:tcPr>
            <w:tcW w:w="7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10.34</w:t>
            </w:r>
          </w:p>
        </w:tc>
        <w:tc>
          <w:tcPr>
            <w:tcW w:w="60" w:type="dxa"/>
            <w:vAlign w:val="bottom"/>
          </w:tcPr>
          <w:p>
            <w:pPr>
              <w:spacing w:after="0"/>
              <w:rPr>
                <w:sz w:val="24"/>
                <w:szCs w:val="24"/>
                <w:color w:val="auto"/>
              </w:rPr>
            </w:pPr>
          </w:p>
        </w:tc>
        <w:tc>
          <w:tcPr>
            <w:tcW w:w="6440" w:type="dxa"/>
            <w:vAlign w:val="bottom"/>
            <w:gridSpan w:val="34"/>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Lease dated November 1, 2018 between the Registrant and ARE-Maryland No. 24, LLC</w:t>
              </w:r>
            </w:hyperlink>
          </w:p>
        </w:tc>
        <w:tc>
          <w:tcPr>
            <w:tcW w:w="0" w:type="dxa"/>
            <w:vAlign w:val="bottom"/>
          </w:tcPr>
          <w:p>
            <w:pPr>
              <w:spacing w:after="0"/>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24"/>
                <w:szCs w:val="24"/>
                <w:color w:val="auto"/>
              </w:rPr>
            </w:pPr>
          </w:p>
        </w:tc>
        <w:tc>
          <w:tcPr>
            <w:tcW w:w="59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Letter Agreement to Lease dated April 12, 2019 between the Registrant and ARE-</w:t>
              </w:r>
            </w:hyperlink>
          </w:p>
        </w:tc>
        <w:tc>
          <w:tcPr>
            <w:tcW w:w="420" w:type="dxa"/>
            <w:vAlign w:val="bottom"/>
            <w:tcBorders>
              <w:top w:val="single" w:sz="8" w:color="0000EE"/>
            </w:tcBorders>
            <w:gridSpan w:val="12"/>
          </w:tcPr>
          <w:p>
            <w:pPr>
              <w:spacing w:after="0"/>
              <w:rPr>
                <w:sz w:val="24"/>
                <w:szCs w:val="24"/>
                <w:color w:val="auto"/>
              </w:rPr>
            </w:pPr>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93">
              <w:r>
                <w:rPr>
                  <w:rFonts w:ascii="Arial" w:cs="Arial" w:eastAsia="Arial" w:hAnsi="Arial"/>
                  <w:sz w:val="18"/>
                  <w:szCs w:val="18"/>
                  <w:color w:val="0000EE"/>
                  <w:w w:val="94"/>
                </w:rPr>
                <w:t>Maryland No. 24, LLC</w:t>
              </w:r>
            </w:hyperlink>
          </w:p>
        </w:tc>
        <w:tc>
          <w:tcPr>
            <w:tcW w:w="47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10.36</w:t>
            </w:r>
          </w:p>
        </w:tc>
        <w:tc>
          <w:tcPr>
            <w:tcW w:w="60" w:type="dxa"/>
            <w:vAlign w:val="bottom"/>
          </w:tcPr>
          <w:p>
            <w:pPr>
              <w:spacing w:after="0"/>
              <w:rPr>
                <w:sz w:val="24"/>
                <w:szCs w:val="24"/>
                <w:color w:val="auto"/>
              </w:rPr>
            </w:pPr>
          </w:p>
        </w:tc>
        <w:tc>
          <w:tcPr>
            <w:tcW w:w="5920" w:type="dxa"/>
            <w:vAlign w:val="bottom"/>
            <w:tcBorders>
              <w:bottom w:val="single" w:sz="8" w:color="0000EE"/>
            </w:tcBorders>
            <w:gridSpan w:val="18"/>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First Amendment to Lease dated April 23, 2019 between the Registrant and ARE-</w:t>
              </w:r>
            </w:hyperlink>
          </w:p>
        </w:tc>
        <w:tc>
          <w:tcPr>
            <w:tcW w:w="5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Maryland No. 24, LLC</w:t>
              </w:r>
            </w:hyperlink>
          </w:p>
        </w:tc>
        <w:tc>
          <w:tcPr>
            <w:tcW w:w="47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10.37</w:t>
            </w:r>
          </w:p>
        </w:tc>
        <w:tc>
          <w:tcPr>
            <w:tcW w:w="60" w:type="dxa"/>
            <w:vAlign w:val="bottom"/>
          </w:tcPr>
          <w:p>
            <w:pPr>
              <w:spacing w:after="0"/>
              <w:rPr>
                <w:sz w:val="24"/>
                <w:szCs w:val="24"/>
                <w:color w:val="auto"/>
              </w:rPr>
            </w:pPr>
          </w:p>
        </w:tc>
        <w:tc>
          <w:tcPr>
            <w:tcW w:w="6400" w:type="dxa"/>
            <w:vAlign w:val="bottom"/>
            <w:tcBorders>
              <w:bottom w:val="single" w:sz="8" w:color="0000EE"/>
            </w:tcBorders>
            <w:gridSpan w:val="32"/>
          </w:tcPr>
          <w:p>
            <w:pPr>
              <w:spacing w:after="0"/>
              <w:rPr>
                <w:rFonts w:ascii="Arial" w:cs="Arial" w:eastAsia="Arial" w:hAnsi="Arial"/>
                <w:sz w:val="18"/>
                <w:szCs w:val="18"/>
                <w:color w:val="0000EE"/>
                <w:w w:val="89"/>
              </w:rPr>
            </w:pPr>
            <w:hyperlink r:id="rId195">
              <w:r>
                <w:rPr>
                  <w:rFonts w:ascii="Arial" w:cs="Arial" w:eastAsia="Arial" w:hAnsi="Arial"/>
                  <w:sz w:val="18"/>
                  <w:szCs w:val="18"/>
                  <w:color w:val="0000EE"/>
                  <w:w w:val="89"/>
                </w:rPr>
                <w:t>Second Amendment to Lease dated November 4, 2019 between the Registrant and ARE-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Maryland No. 24, LLC</w:t>
              </w:r>
            </w:hyperlink>
          </w:p>
        </w:tc>
        <w:tc>
          <w:tcPr>
            <w:tcW w:w="47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10.38</w:t>
            </w:r>
          </w:p>
        </w:tc>
        <w:tc>
          <w:tcPr>
            <w:tcW w:w="60" w:type="dxa"/>
            <w:vAlign w:val="bottom"/>
          </w:tcPr>
          <w:p>
            <w:pPr>
              <w:spacing w:after="0"/>
              <w:rPr>
                <w:sz w:val="24"/>
                <w:szCs w:val="24"/>
                <w:color w:val="auto"/>
              </w:rPr>
            </w:pPr>
          </w:p>
        </w:tc>
        <w:tc>
          <w:tcPr>
            <w:tcW w:w="6180" w:type="dxa"/>
            <w:vAlign w:val="bottom"/>
            <w:tcBorders>
              <w:bottom w:val="single" w:sz="8" w:color="0000EE"/>
            </w:tcBorders>
            <w:gridSpan w:val="28"/>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Third Amendment to Lease dated October 30, 2020 between the Registrant and ARE-</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96">
              <w:r>
                <w:rPr>
                  <w:rFonts w:ascii="Arial" w:cs="Arial" w:eastAsia="Arial" w:hAnsi="Arial"/>
                  <w:sz w:val="18"/>
                  <w:szCs w:val="18"/>
                  <w:color w:val="0000EE"/>
                  <w:w w:val="94"/>
                </w:rPr>
                <w:t>Maryland No. 24, LLC</w:t>
              </w:r>
            </w:hyperlink>
          </w:p>
        </w:tc>
        <w:tc>
          <w:tcPr>
            <w:tcW w:w="47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10.39†</w:t>
            </w:r>
          </w:p>
        </w:tc>
        <w:tc>
          <w:tcPr>
            <w:tcW w:w="60" w:type="dxa"/>
            <w:vAlign w:val="bottom"/>
          </w:tcPr>
          <w:p>
            <w:pPr>
              <w:spacing w:after="0"/>
              <w:rPr>
                <w:sz w:val="24"/>
                <w:szCs w:val="24"/>
                <w:color w:val="auto"/>
              </w:rPr>
            </w:pPr>
          </w:p>
        </w:tc>
        <w:tc>
          <w:tcPr>
            <w:tcW w:w="6000" w:type="dxa"/>
            <w:vAlign w:val="bottom"/>
            <w:tcBorders>
              <w:bottom w:val="single" w:sz="8" w:color="0000EE"/>
            </w:tcBorders>
            <w:gridSpan w:val="22"/>
          </w:tcPr>
          <w:p>
            <w:pPr>
              <w:spacing w:after="0"/>
              <w:rPr>
                <w:rFonts w:ascii="Arial" w:cs="Arial" w:eastAsia="Arial" w:hAnsi="Arial"/>
                <w:sz w:val="18"/>
                <w:szCs w:val="18"/>
                <w:color w:val="0000EE"/>
                <w:w w:val="88"/>
              </w:rPr>
            </w:pPr>
            <w:hyperlink r:id="rId197">
              <w:r>
                <w:rPr>
                  <w:rFonts w:ascii="Arial" w:cs="Arial" w:eastAsia="Arial" w:hAnsi="Arial"/>
                  <w:sz w:val="18"/>
                  <w:szCs w:val="18"/>
                  <w:color w:val="0000EE"/>
                  <w:w w:val="88"/>
                </w:rPr>
                <w:t>Royalty Purchase Agreement dated December 22, 2020 between the Registrant and</w:t>
              </w:r>
            </w:hyperlink>
          </w:p>
        </w:tc>
        <w:tc>
          <w:tcPr>
            <w:tcW w:w="4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40" w:type="dxa"/>
            <w:vAlign w:val="bottom"/>
            <w:gridSpan w:val="34"/>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entities managed by Healthcare Royalty Management, LLC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10.40†</w:t>
            </w:r>
          </w:p>
        </w:tc>
        <w:tc>
          <w:tcPr>
            <w:tcW w:w="60" w:type="dxa"/>
            <w:vAlign w:val="bottom"/>
          </w:tcPr>
          <w:p>
            <w:pPr>
              <w:spacing w:after="0"/>
              <w:rPr>
                <w:sz w:val="24"/>
                <w:szCs w:val="24"/>
                <w:color w:val="auto"/>
              </w:rPr>
            </w:pPr>
          </w:p>
        </w:tc>
        <w:tc>
          <w:tcPr>
            <w:tcW w:w="6440" w:type="dxa"/>
            <w:vAlign w:val="bottom"/>
            <w:gridSpan w:val="34"/>
          </w:tcPr>
          <w:p>
            <w:pPr>
              <w:spacing w:after="0"/>
              <w:rPr>
                <w:rFonts w:ascii="Arial" w:cs="Arial" w:eastAsia="Arial" w:hAnsi="Arial"/>
                <w:sz w:val="18"/>
                <w:szCs w:val="18"/>
                <w:color w:val="0000EE"/>
                <w:w w:val="97"/>
              </w:rPr>
            </w:pPr>
            <w:hyperlink w:anchor="page135">
              <w:r>
                <w:rPr>
                  <w:rFonts w:ascii="Arial" w:cs="Arial" w:eastAsia="Arial" w:hAnsi="Arial"/>
                  <w:sz w:val="18"/>
                  <w:szCs w:val="18"/>
                  <w:color w:val="0000EE"/>
                  <w:w w:val="97"/>
                </w:rPr>
                <w:t>Settlement Agreement and Mutual Release dated November 12, 2021 between the</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35">
              <w:r>
                <w:rPr>
                  <w:rFonts w:ascii="Arial" w:cs="Arial" w:eastAsia="Arial" w:hAnsi="Arial"/>
                  <w:sz w:val="18"/>
                  <w:szCs w:val="18"/>
                  <w:color w:val="0000EE"/>
                  <w:w w:val="89"/>
                </w:rPr>
                <w:t>Registrant and Abeona Therapeutics Inc.</w:t>
              </w:r>
            </w:hyperlink>
          </w:p>
        </w:tc>
        <w:tc>
          <w:tcPr>
            <w:tcW w:w="2960" w:type="dxa"/>
            <w:vAlign w:val="bottom"/>
            <w:tcBorders>
              <w:top w:val="single" w:sz="8" w:color="0000EE"/>
            </w:tcBorders>
            <w:gridSpan w:val="8"/>
          </w:tcPr>
          <w:p>
            <w:pPr>
              <w:spacing w:after="0"/>
              <w:rPr>
                <w:sz w:val="17"/>
                <w:szCs w:val="17"/>
                <w:color w:val="auto"/>
              </w:rPr>
            </w:pPr>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4"/>
                <w:szCs w:val="24"/>
                <w:color w:val="auto"/>
              </w:rPr>
            </w:pPr>
          </w:p>
        </w:tc>
        <w:tc>
          <w:tcPr>
            <w:tcW w:w="21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Subsidiaries of the Registrant</w:t>
              </w:r>
            </w:hyperlink>
          </w:p>
        </w:tc>
        <w:tc>
          <w:tcPr>
            <w:tcW w:w="432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4"/>
                <w:szCs w:val="24"/>
                <w:color w:val="auto"/>
              </w:rPr>
            </w:pPr>
          </w:p>
        </w:tc>
        <w:tc>
          <w:tcPr>
            <w:tcW w:w="58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44">
              <w:r>
                <w:rPr>
                  <w:rFonts w:ascii="Arial" w:cs="Arial" w:eastAsia="Arial" w:hAnsi="Arial"/>
                  <w:sz w:val="18"/>
                  <w:szCs w:val="18"/>
                  <w:color w:val="0000EE"/>
                  <w:w w:val="89"/>
                </w:rPr>
                <w:t>Consent of PricewaterhouseCoopers LLP, independent registered accounting firm</w:t>
              </w:r>
            </w:hyperlink>
          </w:p>
        </w:tc>
        <w:tc>
          <w:tcPr>
            <w:tcW w:w="5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60" w:type="dxa"/>
            <w:vAlign w:val="bottom"/>
          </w:tcPr>
          <w:p>
            <w:pPr>
              <w:spacing w:after="0"/>
              <w:rPr>
                <w:sz w:val="24"/>
                <w:szCs w:val="24"/>
                <w:color w:val="auto"/>
              </w:rPr>
            </w:pPr>
          </w:p>
        </w:tc>
        <w:tc>
          <w:tcPr>
            <w:tcW w:w="5460" w:type="dxa"/>
            <w:vAlign w:val="bottom"/>
            <w:gridSpan w:val="14"/>
          </w:tcPr>
          <w:p>
            <w:pPr>
              <w:jc w:val="right"/>
              <w:ind w:right="76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19"/>
        </w:trPr>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5"/>
        </w:trPr>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97"/>
              </w:rPr>
              <w:t>S-1/A</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88"/>
              </w:rPr>
              <w:t>10.12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9/15/15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5"/>
              </w:rPr>
              <w:t>S-1</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88"/>
              </w:rPr>
              <w:t>10.13</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8/17/15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97"/>
              </w:rPr>
              <w:t>S-1/A</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88"/>
              </w:rPr>
              <w:t>10.16</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9/15/15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94"/>
              </w:rPr>
              <w:t>10-K</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88"/>
              </w:rPr>
              <w:t>10.24</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3/6/18</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11/2/21</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5"/>
              </w:rPr>
              <w:t>S-1</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88"/>
              </w:rPr>
              <w:t>10.26</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8/17/15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94"/>
              </w:rPr>
              <w:t>10-K</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88"/>
              </w:rPr>
              <w:t>10.31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3/3/16</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94"/>
              </w:rPr>
              <w:t>10-K</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88"/>
              </w:rPr>
              <w:t>10.32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3/3/16</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8/8/17</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5/8/18</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10.3</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11/4/20</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6/3/19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6/3/19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11/7/18</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10.3</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5/7/19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10.4</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5/7/19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11/5/19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89"/>
              </w:rPr>
              <w:t>10-Q</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91"/>
              </w:rPr>
              <w:t>10.4</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11/4/20</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80" w:type="dxa"/>
            <w:vAlign w:val="bottom"/>
          </w:tcPr>
          <w:p>
            <w:pPr>
              <w:jc w:val="center"/>
              <w:ind w:left="11"/>
              <w:spacing w:after="0"/>
              <w:rPr>
                <w:sz w:val="20"/>
                <w:szCs w:val="20"/>
                <w:color w:val="auto"/>
              </w:rPr>
            </w:pPr>
            <w:r>
              <w:rPr>
                <w:rFonts w:ascii="Arial" w:cs="Arial" w:eastAsia="Arial" w:hAnsi="Arial"/>
                <w:sz w:val="18"/>
                <w:szCs w:val="18"/>
                <w:color w:val="auto"/>
                <w:w w:val="94"/>
              </w:rPr>
              <w:t>10-K</w:t>
            </w:r>
          </w:p>
        </w:tc>
        <w:tc>
          <w:tcPr>
            <w:tcW w:w="960" w:type="dxa"/>
            <w:vAlign w:val="bottom"/>
            <w:gridSpan w:val="3"/>
          </w:tcPr>
          <w:p>
            <w:pPr>
              <w:jc w:val="center"/>
              <w:ind w:left="71"/>
              <w:spacing w:after="0"/>
              <w:rPr>
                <w:sz w:val="20"/>
                <w:szCs w:val="20"/>
                <w:color w:val="auto"/>
              </w:rPr>
            </w:pPr>
            <w:r>
              <w:rPr>
                <w:rFonts w:ascii="Arial" w:cs="Arial" w:eastAsia="Arial" w:hAnsi="Arial"/>
                <w:sz w:val="18"/>
                <w:szCs w:val="18"/>
                <w:color w:val="auto"/>
                <w:w w:val="88"/>
              </w:rPr>
              <w:t>10.42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3/1/21</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560" w:space="40"/>
            <w:col w:w="36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119"/>
        </w:trPr>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100" w:type="dxa"/>
            <w:vAlign w:val="bottom"/>
            <w:gridSpan w:val="4"/>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vMerge w:val="restart"/>
          </w:tcPr>
          <w:p>
            <w:pPr>
              <w:spacing w:after="0"/>
              <w:rPr>
                <w:sz w:val="12"/>
                <w:szCs w:val="12"/>
                <w:color w:val="auto"/>
              </w:rPr>
            </w:pPr>
          </w:p>
        </w:tc>
        <w:tc>
          <w:tcPr>
            <w:tcW w:w="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5"/>
        </w:trPr>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4"/>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0"/>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6480" w:type="dxa"/>
            <w:vAlign w:val="bottom"/>
            <w:gridSpan w:val="7"/>
          </w:tcPr>
          <w:p>
            <w:pPr>
              <w:spacing w:after="0"/>
              <w:rPr>
                <w:rFonts w:ascii="Arial" w:cs="Arial" w:eastAsia="Arial" w:hAnsi="Arial"/>
                <w:sz w:val="18"/>
                <w:szCs w:val="18"/>
                <w:color w:val="0000EE"/>
                <w:w w:val="92"/>
              </w:rPr>
            </w:pPr>
            <w:hyperlink w:anchor="page145">
              <w:r>
                <w:rPr>
                  <w:rFonts w:ascii="Arial" w:cs="Arial" w:eastAsia="Arial" w:hAnsi="Arial"/>
                  <w:sz w:val="18"/>
                  <w:szCs w:val="18"/>
                  <w:color w:val="0000EE"/>
                  <w:w w:val="92"/>
                </w:rPr>
                <w:t>Certification of the Chief Executive Officer, as required by Section 302 of the Sarbanes-</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Oxley Act of 2002</w:t>
              </w:r>
            </w:hyperlink>
          </w:p>
        </w:tc>
        <w:tc>
          <w:tcPr>
            <w:tcW w:w="5000" w:type="dxa"/>
            <w:vAlign w:val="bottom"/>
            <w:tcBorders>
              <w:top w:val="single" w:sz="8" w:color="0000EE"/>
            </w:tcBorders>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6480" w:type="dxa"/>
            <w:vAlign w:val="bottom"/>
            <w:gridSpan w:val="7"/>
          </w:tcPr>
          <w:p>
            <w:pPr>
              <w:spacing w:after="0"/>
              <w:rPr>
                <w:rFonts w:ascii="Arial" w:cs="Arial" w:eastAsia="Arial" w:hAnsi="Arial"/>
                <w:sz w:val="18"/>
                <w:szCs w:val="18"/>
                <w:color w:val="0000EE"/>
                <w:w w:val="94"/>
              </w:rPr>
            </w:pPr>
            <w:hyperlink w:anchor="page146">
              <w:r>
                <w:rPr>
                  <w:rFonts w:ascii="Arial" w:cs="Arial" w:eastAsia="Arial" w:hAnsi="Arial"/>
                  <w:sz w:val="18"/>
                  <w:szCs w:val="18"/>
                  <w:color w:val="0000EE"/>
                  <w:w w:val="94"/>
                </w:rPr>
                <w:t>Certification of the Chief Financial Officer as required by Section 302 of the Sarbanes-</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46">
              <w:r>
                <w:rPr>
                  <w:rFonts w:ascii="Arial" w:cs="Arial" w:eastAsia="Arial" w:hAnsi="Arial"/>
                  <w:sz w:val="18"/>
                  <w:szCs w:val="18"/>
                  <w:color w:val="0000EE"/>
                  <w:w w:val="92"/>
                </w:rPr>
                <w:t>Oxley Act of 2002</w:t>
              </w:r>
            </w:hyperlink>
          </w:p>
        </w:tc>
        <w:tc>
          <w:tcPr>
            <w:tcW w:w="4920" w:type="dxa"/>
            <w:vAlign w:val="bottom"/>
            <w:tcBorders>
              <w:top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63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47">
              <w:r>
                <w:rPr>
                  <w:rFonts w:ascii="Arial" w:cs="Arial" w:eastAsia="Arial" w:hAnsi="Arial"/>
                  <w:sz w:val="18"/>
                  <w:szCs w:val="18"/>
                  <w:color w:val="0000EE"/>
                  <w:w w:val="92"/>
                </w:rPr>
                <w:t>Certifications of the Chief Executive Officer and Chief Financial Officer as required by</w:t>
              </w:r>
            </w:hyperlink>
          </w:p>
        </w:tc>
        <w:tc>
          <w:tcPr>
            <w:tcW w:w="18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80" w:type="dxa"/>
            <w:vAlign w:val="bottom"/>
            <w:gridSpan w:val="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18 U.S.C. 1350</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6480" w:type="dxa"/>
            <w:vAlign w:val="bottom"/>
            <w:gridSpan w:val="7"/>
          </w:tcPr>
          <w:p>
            <w:pPr>
              <w:spacing w:after="0"/>
              <w:rPr>
                <w:sz w:val="20"/>
                <w:szCs w:val="20"/>
                <w:color w:val="auto"/>
              </w:rPr>
            </w:pPr>
            <w:r>
              <w:rPr>
                <w:rFonts w:ascii="Arial" w:cs="Arial" w:eastAsia="Arial" w:hAnsi="Arial"/>
                <w:sz w:val="18"/>
                <w:szCs w:val="18"/>
                <w:color w:val="auto"/>
                <w:w w:val="93"/>
              </w:rPr>
              <w:t>The following materials from the Registrant’s Annual Report on Form 10-K for the fiscal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80" w:type="dxa"/>
            <w:vAlign w:val="bottom"/>
            <w:gridSpan w:val="7"/>
          </w:tcPr>
          <w:p>
            <w:pPr>
              <w:spacing w:after="0"/>
              <w:rPr>
                <w:sz w:val="20"/>
                <w:szCs w:val="20"/>
                <w:color w:val="auto"/>
              </w:rPr>
            </w:pPr>
            <w:r>
              <w:rPr>
                <w:rFonts w:ascii="Arial" w:cs="Arial" w:eastAsia="Arial" w:hAnsi="Arial"/>
                <w:sz w:val="18"/>
                <w:szCs w:val="18"/>
                <w:color w:val="auto"/>
              </w:rPr>
              <w:t>year ended December 31, 2021 formatted in Inline XBRL (eXtensible Business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80" w:type="dxa"/>
            <w:vAlign w:val="bottom"/>
            <w:gridSpan w:val="7"/>
          </w:tcPr>
          <w:p>
            <w:pPr>
              <w:spacing w:after="0"/>
              <w:rPr>
                <w:sz w:val="20"/>
                <w:szCs w:val="20"/>
                <w:color w:val="auto"/>
              </w:rPr>
            </w:pPr>
            <w:r>
              <w:rPr>
                <w:rFonts w:ascii="Arial" w:cs="Arial" w:eastAsia="Arial" w:hAnsi="Arial"/>
                <w:sz w:val="18"/>
                <w:szCs w:val="18"/>
                <w:color w:val="auto"/>
              </w:rPr>
              <w:t>Reporting Language):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20" w:hanging="305"/>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23" w:lineRule="exact"/>
        <w:rPr>
          <w:rFonts w:ascii="Arial" w:cs="Arial" w:eastAsia="Arial" w:hAnsi="Arial"/>
          <w:sz w:val="18"/>
          <w:szCs w:val="18"/>
          <w:color w:val="auto"/>
        </w:rPr>
      </w:pPr>
    </w:p>
    <w:p>
      <w:pPr>
        <w:ind w:left="1420" w:hanging="305"/>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Income (Loss)</w:t>
      </w:r>
    </w:p>
    <w:p>
      <w:pPr>
        <w:spacing w:after="0" w:line="9" w:lineRule="exact"/>
        <w:rPr>
          <w:rFonts w:ascii="Arial" w:cs="Arial" w:eastAsia="Arial" w:hAnsi="Arial"/>
          <w:sz w:val="18"/>
          <w:szCs w:val="18"/>
          <w:color w:val="auto"/>
        </w:rPr>
      </w:pPr>
    </w:p>
    <w:p>
      <w:pPr>
        <w:ind w:left="1420" w:hanging="305"/>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Consolidated Statements of Stockholders’ Equity</w:t>
      </w:r>
    </w:p>
    <w:p>
      <w:pPr>
        <w:spacing w:after="0" w:line="9" w:lineRule="exact"/>
        <w:rPr>
          <w:rFonts w:ascii="Arial" w:cs="Arial" w:eastAsia="Arial" w:hAnsi="Arial"/>
          <w:sz w:val="18"/>
          <w:szCs w:val="18"/>
          <w:color w:val="auto"/>
        </w:rPr>
      </w:pPr>
    </w:p>
    <w:p>
      <w:pPr>
        <w:ind w:left="1420" w:hanging="305"/>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9" w:lineRule="exact"/>
        <w:rPr>
          <w:rFonts w:ascii="Arial" w:cs="Arial" w:eastAsia="Arial" w:hAnsi="Arial"/>
          <w:sz w:val="18"/>
          <w:szCs w:val="18"/>
          <w:color w:val="auto"/>
        </w:rPr>
      </w:pPr>
    </w:p>
    <w:p>
      <w:pPr>
        <w:ind w:left="1420" w:hanging="305"/>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6" w:lineRule="exact"/>
        <w:rPr>
          <w:sz w:val="20"/>
          <w:szCs w:val="20"/>
          <w:color w:val="auto"/>
        </w:rPr>
      </w:pPr>
    </w:p>
    <w:p>
      <w:pPr>
        <w:ind w:left="1120" w:right="3960" w:hanging="1112"/>
        <w:spacing w:after="0" w:line="308" w:lineRule="auto"/>
        <w:tabs>
          <w:tab w:leader="none" w:pos="11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cover page from the Registrant’s Annual Report on Form 10-K for the fiscal year ended December 31, 2021 formatted in Inline XBRL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24942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9"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Portions of this exhibit have been omitted.</w:t>
      </w:r>
    </w:p>
    <w:p>
      <w:pPr>
        <w:spacing w:after="0" w:line="251"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The certifications attached as Exhibit 32.1 that accompany this Annual Report on Form 10-K are not deemed filed with the SEC and are not to be incorporated by reference into any filing of REGENXBIO Inc. under the Securities Act or the Exchange Act, whether made before or after the date of this Annual Report on Form 10-K, irrespective of any general incorporation language contained in such filing.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Pursuant to the requirements of Section 13 and 15(d) of the Securities Exchange Act of 1934, the registrant has duly caused this report to be signed on its behalf by the undersigned, thereunto duly authorized on March 1, 2022.</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REGENXBIO INC.</w:t>
      </w:r>
    </w:p>
    <w:p>
      <w:pPr>
        <w:spacing w:after="0" w:line="256"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Kenneth T. Mills,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right="420" w:firstLine="38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0" w:type="dxa"/>
            <w:vAlign w:val="bottom"/>
          </w:tcPr>
          <w:p>
            <w:pPr>
              <w:spacing w:after="0"/>
              <w:rPr>
                <w:sz w:val="14"/>
                <w:szCs w:val="14"/>
                <w:color w:val="auto"/>
              </w:rPr>
            </w:pPr>
          </w:p>
        </w:tc>
        <w:tc>
          <w:tcPr>
            <w:tcW w:w="3940" w:type="dxa"/>
            <w:vAlign w:val="bottom"/>
            <w:tcBorders>
              <w:bottom w:val="single" w:sz="8" w:color="auto"/>
            </w:tcBorders>
          </w:tcPr>
          <w:p>
            <w:pPr>
              <w:jc w:val="right"/>
              <w:ind w:right="1708"/>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2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Date</w:t>
            </w:r>
          </w:p>
        </w:tc>
      </w:tr>
      <w:tr>
        <w:trPr>
          <w:trHeight w:val="3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Kenneth T. Mills</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President, Chief Executive Officer and</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4"/>
              </w:rPr>
              <w:t>Kenneth T. Mills</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Director (Principal Executive Officer)</w:t>
            </w:r>
          </w:p>
        </w:tc>
        <w:tc>
          <w:tcPr>
            <w:tcW w:w="2240" w:type="dxa"/>
            <w:vAlign w:val="bottom"/>
          </w:tcPr>
          <w:p>
            <w:pPr>
              <w:spacing w:after="0"/>
              <w:rPr>
                <w:sz w:val="19"/>
                <w:szCs w:val="19"/>
                <w:color w:val="auto"/>
              </w:rPr>
            </w:pPr>
          </w:p>
        </w:tc>
      </w:tr>
      <w:tr>
        <w:trPr>
          <w:trHeight w:val="3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Vittal Vasista</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2"/>
              </w:rPr>
              <w:t>Vittal Vasista</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19"/>
                <w:szCs w:val="19"/>
                <w:color w:val="auto"/>
              </w:rPr>
            </w:pPr>
          </w:p>
        </w:tc>
      </w:tr>
      <w:tr>
        <w:trPr>
          <w:trHeight w:val="3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Allan M. Fox</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Chairman of the Board of Directors</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5"/>
              </w:rPr>
              <w:t>Allan M. Fox</w:t>
            </w:r>
          </w:p>
        </w:tc>
        <w:tc>
          <w:tcPr>
            <w:tcW w:w="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 J. Abdun-Nabi</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2"/>
              </w:rPr>
              <w:t>Daniel J. Abdun-Nabi</w:t>
            </w:r>
          </w:p>
        </w:tc>
        <w:tc>
          <w:tcPr>
            <w:tcW w:w="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Jean Bennett</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86"/>
              </w:rPr>
              <w:t>Jean Bennett</w:t>
            </w:r>
          </w:p>
        </w:tc>
        <w:tc>
          <w:tcPr>
            <w:tcW w:w="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Alexandra Glucksmann</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1"/>
              </w:rPr>
              <w:t>Alexandra Glucksmann</w:t>
            </w:r>
          </w:p>
        </w:tc>
        <w:tc>
          <w:tcPr>
            <w:tcW w:w="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 “Jerry” Karabelas</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4"/>
              </w:rPr>
              <w:t>A.N. “Jerry” Karabelas</w:t>
            </w:r>
          </w:p>
        </w:tc>
        <w:tc>
          <w:tcPr>
            <w:tcW w:w="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23"/>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George Migausky</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0"/>
              </w:rPr>
              <w:t>George Migausky</w:t>
            </w:r>
          </w:p>
        </w:tc>
        <w:tc>
          <w:tcPr>
            <w:tcW w:w="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C. Stump</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91"/>
              </w:rPr>
              <w:t>David C. Stump</w:t>
            </w:r>
          </w:p>
        </w:tc>
        <w:tc>
          <w:tcPr>
            <w:tcW w:w="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Daniel Tassé</w:t>
            </w:r>
          </w:p>
        </w:tc>
        <w:tc>
          <w:tcPr>
            <w:tcW w:w="4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600"/>
              <w:spacing w:after="0"/>
              <w:rPr>
                <w:sz w:val="20"/>
                <w:szCs w:val="20"/>
                <w:color w:val="auto"/>
              </w:rPr>
            </w:pPr>
            <w:r>
              <w:rPr>
                <w:rFonts w:ascii="Arial" w:cs="Arial" w:eastAsia="Arial" w:hAnsi="Arial"/>
                <w:sz w:val="18"/>
                <w:szCs w:val="18"/>
                <w:color w:val="auto"/>
              </w:rPr>
              <w:t>March 1, 2022</w:t>
            </w: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color w:val="auto"/>
                <w:w w:val="87"/>
              </w:rPr>
              <w:t>Daniel Tassé</w:t>
            </w:r>
          </w:p>
        </w:tc>
        <w:tc>
          <w:tcPr>
            <w:tcW w:w="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836"/>
        </w:trPr>
        <w:tc>
          <w:tcPr>
            <w:tcW w:w="4820" w:type="dxa"/>
            <w:vAlign w:val="bottom"/>
          </w:tcPr>
          <w:p>
            <w:pPr>
              <w:spacing w:after="0"/>
              <w:rPr>
                <w:sz w:val="24"/>
                <w:szCs w:val="24"/>
                <w:color w:val="auto"/>
              </w:rPr>
            </w:pPr>
          </w:p>
        </w:tc>
        <w:tc>
          <w:tcPr>
            <w:tcW w:w="4080" w:type="dxa"/>
            <w:vAlign w:val="bottom"/>
            <w:gridSpan w:val="2"/>
          </w:tcPr>
          <w:p>
            <w:pPr>
              <w:jc w:val="right"/>
              <w:ind w:right="3068"/>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4.2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160" w:firstLine="864"/>
        <w:spacing w:after="0" w:line="275" w:lineRule="auto"/>
        <w:rPr>
          <w:sz w:val="20"/>
          <w:szCs w:val="20"/>
          <w:color w:val="auto"/>
        </w:rPr>
      </w:pPr>
      <w:r>
        <w:rPr>
          <w:rFonts w:ascii="Arial" w:cs="Arial" w:eastAsia="Arial" w:hAnsi="Arial"/>
          <w:sz w:val="17"/>
          <w:szCs w:val="17"/>
          <w:color w:val="auto"/>
        </w:rPr>
        <w:t>REGENXBIO Inc. has one class of securities registered under Section 12 of the Securities Exchange Act of 1934, as amended: our common stock, par value $0.0001 per share. The following is a general summary of the terms of shares of our common stock. The description below does not include all of the terms of the shares of common stock and should be read together with our restated certificate of incorporation and amended and restated bylaws, each of which are incorporated by reference as an exhibit to the Annual Report on Form 10-K of which this Exhibit is a part. Unless the context otherwise requires, throughout this document, the words “REGENXBIO,” “we,” or “us” refer to REGENXBIO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225" w:lineRule="exact"/>
        <w:rPr>
          <w:sz w:val="20"/>
          <w:szCs w:val="20"/>
          <w:color w:val="auto"/>
        </w:rPr>
      </w:pPr>
    </w:p>
    <w:p>
      <w:pPr>
        <w:jc w:val="both"/>
        <w:ind w:right="80" w:firstLine="864"/>
        <w:spacing w:after="0" w:line="342" w:lineRule="auto"/>
        <w:rPr>
          <w:sz w:val="20"/>
          <w:szCs w:val="20"/>
          <w:color w:val="auto"/>
        </w:rPr>
      </w:pPr>
      <w:r>
        <w:rPr>
          <w:rFonts w:ascii="Arial" w:cs="Arial" w:eastAsia="Arial" w:hAnsi="Arial"/>
          <w:sz w:val="16"/>
          <w:szCs w:val="16"/>
          <w:color w:val="auto"/>
        </w:rPr>
        <w:t>Our authorized capital stock consists of 110,000,000 shares, with a par value of $0.0001 per share, of which 100,000,000 shares are designated as common stock and 10,000,000 shares are designated as preferred stock. The outstanding shares of our common stock are fully paid and non-assessable.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80" w:firstLine="864"/>
        <w:spacing w:after="0" w:line="263"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and Conversion Rights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Holders of common stock have no preemptive or conversion rights or other subscription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and Sinking Fund Rights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redemption or sinking fund provisions applicable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Upon our liquidation, dissolution or winding-up, the holders of common stock are entitled to share ratably in all assets remaining after payment of all liabilities and the liquidation preferences of any outstanding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right="100" w:firstLine="864"/>
        <w:spacing w:after="0" w:line="286"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Notwithstanding the previous sentence, unless otherwise provided by law holders of common stock are not entitled to vote on any amendment to our restated certificate of incorporation that relates solely to the terms of any preferred stock if the holders of such preferred stock are entitled to vote on such amendment.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not provided for cumulative voting in the election of directors.</w:t>
      </w:r>
    </w:p>
    <w:p>
      <w:pPr>
        <w:spacing w:after="0" w:line="225"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The General Corporation Law of the State of Delaware, or the Delaware General Corporation Law, provides that holders of a class of stock will have the right to vote separately as a class on any proposal involving fundamental changes in the rights of the holders of that class of stock for proposals that adversely affect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Anti-Takeover Effects of Delaware Law and Our Restated Certificate of Incorporation and Amended and Restated Bylaws</w:t>
      </w:r>
    </w:p>
    <w:p>
      <w:pPr>
        <w:spacing w:after="0" w:line="225" w:lineRule="exact"/>
        <w:rPr>
          <w:sz w:val="20"/>
          <w:szCs w:val="20"/>
          <w:color w:val="auto"/>
        </w:rPr>
      </w:pPr>
    </w:p>
    <w:p>
      <w:pPr>
        <w:ind w:right="180" w:firstLine="864"/>
        <w:spacing w:after="0" w:line="279" w:lineRule="auto"/>
        <w:rPr>
          <w:sz w:val="20"/>
          <w:szCs w:val="20"/>
          <w:color w:val="auto"/>
        </w:rPr>
      </w:pPr>
      <w:r>
        <w:rPr>
          <w:rFonts w:ascii="Arial" w:cs="Arial" w:eastAsia="Arial" w:hAnsi="Arial"/>
          <w:sz w:val="17"/>
          <w:szCs w:val="17"/>
          <w:color w:val="auto"/>
        </w:rPr>
        <w:t>Delaware law, our restated certificate of incorporation and our amended and restated bylaws contain provisions that could make it more difficult to effect an acquisition of us by means of a tender offer, proxy contest or otherwise, or to remove our incumbent officers and directors. It is possible that these provisions could make it more difficult to accomplish, or could deter, transactions that stockholders otherwise consider to be in our or their best interest, including transactions which provide for payment of a premium over the market price for our shares.</w:t>
      </w:r>
    </w:p>
    <w:p>
      <w:pPr>
        <w:spacing w:after="0" w:line="171" w:lineRule="exact"/>
        <w:rPr>
          <w:sz w:val="20"/>
          <w:szCs w:val="20"/>
          <w:color w:val="auto"/>
        </w:rPr>
      </w:pPr>
    </w:p>
    <w:p>
      <w:pPr>
        <w:ind w:right="180" w:firstLine="864"/>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unsolicited or unfriendly proposal to acquire or restructure us outweigh the disadvantages of discouraging these proposals because negotiation of these proposals could result in an improvement of their terms.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Delaware Business Combination Statute</w:t>
      </w:r>
    </w:p>
    <w:p>
      <w:pPr>
        <w:spacing w:after="0" w:line="225"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We are subject to Section 203 of the Delaware General Corporation Law. Section 203 prohibits a publicly held Delaware corporation from engaging in a “business combination” with an “interested stockholder” for a period of three years following the time of the transaction in which the person or entity became an interested stockholder, unless:</w:t>
      </w:r>
    </w:p>
    <w:p>
      <w:pPr>
        <w:spacing w:after="0" w:line="184" w:lineRule="exact"/>
        <w:rPr>
          <w:sz w:val="20"/>
          <w:szCs w:val="20"/>
          <w:color w:val="auto"/>
        </w:rPr>
      </w:pPr>
    </w:p>
    <w:p>
      <w:pPr>
        <w:ind w:left="1300" w:hanging="442"/>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to that time, either the business combination or the transaction that resulted in the stockholder becoming an interested stockholder is approved by the board of directors of the corporation;</w:t>
      </w:r>
    </w:p>
    <w:p>
      <w:pPr>
        <w:spacing w:after="0" w:line="170" w:lineRule="exact"/>
        <w:rPr>
          <w:rFonts w:ascii="Arial" w:cs="Arial" w:eastAsia="Arial" w:hAnsi="Arial"/>
          <w:sz w:val="18"/>
          <w:szCs w:val="18"/>
          <w:color w:val="auto"/>
        </w:rPr>
      </w:pPr>
    </w:p>
    <w:p>
      <w:pPr>
        <w:ind w:left="1300" w:right="340" w:hanging="442"/>
        <w:spacing w:after="0" w:line="286" w:lineRule="auto"/>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outstanding voting stock of the corporation, excluding for this purpose shares owned by persons who are directors and also officers of the corporation and by specified employee benefit plans; or</w:t>
      </w:r>
    </w:p>
    <w:p>
      <w:pPr>
        <w:spacing w:after="0" w:line="165" w:lineRule="exact"/>
        <w:rPr>
          <w:rFonts w:ascii="Arial" w:cs="Arial" w:eastAsia="Arial" w:hAnsi="Arial"/>
          <w:sz w:val="17"/>
          <w:szCs w:val="17"/>
          <w:color w:val="auto"/>
        </w:rPr>
      </w:pPr>
    </w:p>
    <w:p>
      <w:pPr>
        <w:ind w:left="1300" w:right="180" w:hanging="442"/>
        <w:spacing w:after="0" w:line="342" w:lineRule="auto"/>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at or after such time, the business combination is approved by the board of directors of the corporation and by the affirmative vote, and not by written consent, of at least 66 2/3% of the outstanding voting stock that is not owned by the interested stockholder.</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purposes of Section 203, a “business combination” is broadly defined to include:</w:t>
      </w:r>
    </w:p>
    <w:p>
      <w:pPr>
        <w:spacing w:after="0" w:line="225" w:lineRule="exact"/>
        <w:rPr>
          <w:sz w:val="20"/>
          <w:szCs w:val="20"/>
          <w:color w:val="auto"/>
        </w:rPr>
      </w:pPr>
    </w:p>
    <w:p>
      <w:pPr>
        <w:ind w:left="1300" w:hanging="442"/>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300" w:hanging="442"/>
        <w:spacing w:after="0"/>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50" w:lineRule="exact"/>
        <w:rPr>
          <w:rFonts w:ascii="Arial" w:cs="Arial" w:eastAsia="Arial" w:hAnsi="Arial"/>
          <w:sz w:val="17"/>
          <w:szCs w:val="17"/>
          <w:color w:val="auto"/>
        </w:rPr>
      </w:pPr>
    </w:p>
    <w:p>
      <w:pPr>
        <w:ind w:left="1300" w:right="340" w:hanging="442"/>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170" w:lineRule="exact"/>
        <w:rPr>
          <w:rFonts w:ascii="Arial" w:cs="Arial" w:eastAsia="Arial" w:hAnsi="Arial"/>
          <w:sz w:val="18"/>
          <w:szCs w:val="18"/>
          <w:color w:val="auto"/>
        </w:rPr>
      </w:pPr>
    </w:p>
    <w:p>
      <w:pPr>
        <w:ind w:left="1300" w:right="40" w:hanging="442"/>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1300" w:right="40" w:hanging="442"/>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100" w:firstLine="864"/>
        <w:spacing w:after="0" w:line="277" w:lineRule="auto"/>
        <w:rPr>
          <w:sz w:val="20"/>
          <w:szCs w:val="20"/>
          <w:color w:val="auto"/>
        </w:rPr>
      </w:pPr>
      <w:r>
        <w:rPr>
          <w:rFonts w:ascii="Arial" w:cs="Arial" w:eastAsia="Arial" w:hAnsi="Arial"/>
          <w:sz w:val="18"/>
          <w:szCs w:val="18"/>
          <w:color w:val="auto"/>
        </w:rPr>
        <w:t>An “interested stockholder” is a person who, together with affiliates and associates, owns or within the immediately preceding three years did own 15% or more of the corporation’s voting stock.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131" w:name="page132"/>
    <w:bookmarkEnd w:id="131"/>
    <w:p>
      <w:pPr>
        <w:ind w:left="880"/>
        <w:spacing w:after="0"/>
        <w:rPr>
          <w:sz w:val="20"/>
          <w:szCs w:val="20"/>
          <w:color w:val="auto"/>
        </w:rPr>
      </w:pPr>
      <w:r>
        <w:rPr>
          <w:rFonts w:ascii="Arial" w:cs="Arial" w:eastAsia="Arial" w:hAnsi="Arial"/>
          <w:sz w:val="18"/>
          <w:szCs w:val="18"/>
          <w:i w:val="1"/>
          <w:iCs w:val="1"/>
          <w:color w:val="auto"/>
        </w:rPr>
        <w:t>Undesignated Preferred Stock</w:t>
      </w:r>
    </w:p>
    <w:p>
      <w:pPr>
        <w:spacing w:after="0" w:line="225" w:lineRule="exact"/>
        <w:rPr>
          <w:sz w:val="20"/>
          <w:szCs w:val="20"/>
          <w:color w:val="auto"/>
        </w:rPr>
      </w:pPr>
    </w:p>
    <w:p>
      <w:pPr>
        <w:jc w:val="both"/>
        <w:ind w:right="40" w:firstLine="864"/>
        <w:spacing w:after="0" w:line="259" w:lineRule="auto"/>
        <w:rPr>
          <w:sz w:val="20"/>
          <w:szCs w:val="20"/>
          <w:color w:val="auto"/>
        </w:rPr>
      </w:pPr>
      <w:r>
        <w:rPr>
          <w:rFonts w:ascii="Arial" w:cs="Arial" w:eastAsia="Arial" w:hAnsi="Arial"/>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 existence of authorized but unissued shares of preferred stock may have the effect of deferring hostile takeovers or delaying changes in control or management of our company.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Stockholder Action by Written Consent; Stockholder Meetings</w:t>
      </w:r>
    </w:p>
    <w:p>
      <w:pPr>
        <w:spacing w:after="0" w:line="225"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amended and restated bylaws. Our amended and restated bylaws provide that a special meeting of stockholders may be called only by our chairman of the board or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225" w:lineRule="exact"/>
        <w:rPr>
          <w:sz w:val="20"/>
          <w:szCs w:val="20"/>
          <w:color w:val="auto"/>
        </w:rPr>
      </w:pPr>
    </w:p>
    <w:p>
      <w:pPr>
        <w:ind w:right="60" w:firstLine="864"/>
        <w:spacing w:after="0" w:line="259"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Staggered Board</w:t>
      </w:r>
    </w:p>
    <w:p>
      <w:pPr>
        <w:spacing w:after="0" w:line="225" w:lineRule="exact"/>
        <w:rPr>
          <w:sz w:val="20"/>
          <w:szCs w:val="20"/>
          <w:color w:val="auto"/>
        </w:rPr>
      </w:pPr>
    </w:p>
    <w:p>
      <w:pPr>
        <w:ind w:right="140" w:firstLine="864"/>
        <w:spacing w:after="0" w:line="286"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This system of electing and removing directors may discourage a third party from making a tender offer or otherwise attempting to obtain control of us, because it generally makes it more difficult for stockholders to replace a majority of the directors.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Removal of Directors</w:t>
      </w:r>
    </w:p>
    <w:p>
      <w:pPr>
        <w:spacing w:after="0" w:line="225"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Board of Directors Vacancies</w:t>
      </w:r>
    </w:p>
    <w:p>
      <w:pPr>
        <w:spacing w:after="0" w:line="225" w:lineRule="exact"/>
        <w:rPr>
          <w:sz w:val="20"/>
          <w:szCs w:val="20"/>
          <w:color w:val="auto"/>
        </w:rPr>
      </w:pPr>
    </w:p>
    <w:p>
      <w:pPr>
        <w:ind w:right="300" w:firstLine="864"/>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225" w:lineRule="exact"/>
        <w:rPr>
          <w:sz w:val="20"/>
          <w:szCs w:val="20"/>
          <w:color w:val="auto"/>
        </w:rPr>
      </w:pPr>
    </w:p>
    <w:p>
      <w:pPr>
        <w:ind w:right="260" w:firstLine="864"/>
        <w:spacing w:after="0" w:line="286" w:lineRule="auto"/>
        <w:rPr>
          <w:sz w:val="20"/>
          <w:szCs w:val="20"/>
          <w:color w:val="auto"/>
        </w:rPr>
      </w:pPr>
      <w:r>
        <w:rPr>
          <w:rFonts w:ascii="Arial" w:cs="Arial" w:eastAsia="Arial" w:hAnsi="Arial"/>
          <w:sz w:val="17"/>
          <w:szCs w:val="17"/>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2" w:name="page133"/>
    <w:bookmarkEnd w:id="132"/>
    <w:p>
      <w:pPr>
        <w:ind w:left="880"/>
        <w:spacing w:after="0"/>
        <w:rPr>
          <w:sz w:val="20"/>
          <w:szCs w:val="20"/>
          <w:color w:val="auto"/>
        </w:rPr>
      </w:pPr>
      <w:r>
        <w:rPr>
          <w:rFonts w:ascii="Arial" w:cs="Arial" w:eastAsia="Arial" w:hAnsi="Arial"/>
          <w:sz w:val="18"/>
          <w:szCs w:val="18"/>
          <w:i w:val="1"/>
          <w:iCs w:val="1"/>
          <w:color w:val="auto"/>
        </w:rPr>
        <w:t>Amendment of Charter Provisions</w:t>
      </w:r>
    </w:p>
    <w:p>
      <w:pPr>
        <w:spacing w:after="0" w:line="225" w:lineRule="exact"/>
        <w:rPr>
          <w:sz w:val="20"/>
          <w:szCs w:val="20"/>
          <w:color w:val="auto"/>
        </w:rPr>
      </w:pPr>
    </w:p>
    <w:p>
      <w:pPr>
        <w:ind w:right="140" w:firstLine="864"/>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right="220" w:firstLine="864"/>
        <w:spacing w:after="0" w:line="257" w:lineRule="auto"/>
        <w:rPr>
          <w:sz w:val="20"/>
          <w:szCs w:val="20"/>
          <w:color w:val="auto"/>
        </w:rPr>
      </w:pPr>
      <w:r>
        <w:rPr>
          <w:rFonts w:ascii="Arial" w:cs="Arial" w:eastAsia="Arial" w:hAnsi="Arial"/>
          <w:sz w:val="18"/>
          <w:szCs w:val="18"/>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firstLine="864"/>
        <w:spacing w:after="0" w:line="270"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or is a “foreign action” (as defined in our restated certificate of incorporation),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181" w:lineRule="exact"/>
        <w:rPr>
          <w:sz w:val="20"/>
          <w:szCs w:val="20"/>
          <w:color w:val="auto"/>
        </w:rPr>
      </w:pPr>
    </w:p>
    <w:p>
      <w:pPr>
        <w:ind w:right="260" w:firstLine="864"/>
        <w:spacing w:after="0" w:line="279" w:lineRule="auto"/>
        <w:rPr>
          <w:sz w:val="20"/>
          <w:szCs w:val="20"/>
          <w:color w:val="auto"/>
        </w:rPr>
      </w:pPr>
      <w:r>
        <w:rPr>
          <w:rFonts w:ascii="Arial" w:cs="Arial" w:eastAsia="Arial" w:hAnsi="Arial"/>
          <w:sz w:val="17"/>
          <w:szCs w:val="17"/>
          <w:color w:val="auto"/>
        </w:rPr>
        <w:t>Additionally, our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w:t>
      </w:r>
    </w:p>
    <w:p>
      <w:pPr>
        <w:spacing w:after="0" w:line="171" w:lineRule="exact"/>
        <w:rPr>
          <w:sz w:val="20"/>
          <w:szCs w:val="20"/>
          <w:color w:val="auto"/>
        </w:rPr>
      </w:pPr>
    </w:p>
    <w:p>
      <w:pPr>
        <w:ind w:right="680" w:firstLine="864"/>
        <w:spacing w:after="0" w:line="308" w:lineRule="auto"/>
        <w:rPr>
          <w:sz w:val="20"/>
          <w:szCs w:val="20"/>
          <w:color w:val="auto"/>
        </w:rPr>
      </w:pPr>
      <w:r>
        <w:rPr>
          <w:rFonts w:ascii="Arial" w:cs="Arial" w:eastAsia="Arial" w:hAnsi="Arial"/>
          <w:sz w:val="17"/>
          <w:szCs w:val="17"/>
          <w:color w:val="auto"/>
        </w:rPr>
        <w:t>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20" w:firstLine="864"/>
        <w:spacing w:after="0" w:line="286" w:lineRule="auto"/>
        <w:rPr>
          <w:sz w:val="20"/>
          <w:szCs w:val="20"/>
          <w:color w:val="auto"/>
        </w:rPr>
      </w:pPr>
      <w:r>
        <w:rPr>
          <w:rFonts w:ascii="Arial" w:cs="Arial" w:eastAsia="Arial" w:hAnsi="Arial"/>
          <w:sz w:val="17"/>
          <w:szCs w:val="17"/>
          <w:color w:val="auto"/>
        </w:rPr>
        <w:t>Our restated certificate of incorporation includes provisions that limit the liability of our directors for monetary damages for breach of their fiduciary duty as directors, except for liability that cannot be eliminated under the Delaware General Corporation Law. Accordingly, our directors will not be personally liable for monetary damages for breach of their fiduciary duty as directors, except for liabilities:</w:t>
      </w:r>
    </w:p>
    <w:p>
      <w:pPr>
        <w:spacing w:after="0" w:line="165" w:lineRule="exact"/>
        <w:rPr>
          <w:sz w:val="20"/>
          <w:szCs w:val="20"/>
          <w:color w:val="auto"/>
        </w:rPr>
      </w:pPr>
    </w:p>
    <w:p>
      <w:pPr>
        <w:ind w:left="1300" w:hanging="442"/>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38" w:lineRule="exact"/>
        <w:rPr>
          <w:rFonts w:ascii="Arial" w:cs="Arial" w:eastAsia="Arial" w:hAnsi="Arial"/>
          <w:sz w:val="18"/>
          <w:szCs w:val="18"/>
          <w:color w:val="auto"/>
        </w:rPr>
      </w:pPr>
    </w:p>
    <w:p>
      <w:pPr>
        <w:ind w:left="1300" w:hanging="442"/>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38" w:lineRule="exact"/>
        <w:rPr>
          <w:rFonts w:ascii="Arial" w:cs="Arial" w:eastAsia="Arial" w:hAnsi="Arial"/>
          <w:sz w:val="18"/>
          <w:szCs w:val="18"/>
          <w:color w:val="auto"/>
        </w:rPr>
      </w:pPr>
    </w:p>
    <w:p>
      <w:pPr>
        <w:ind w:left="1300" w:right="540" w:hanging="442"/>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under Section 174 of the Delaware General Corporation Law; or</w:t>
      </w:r>
    </w:p>
    <w:p>
      <w:pPr>
        <w:spacing w:after="0" w:line="170" w:lineRule="exact"/>
        <w:rPr>
          <w:rFonts w:ascii="Arial" w:cs="Arial" w:eastAsia="Arial" w:hAnsi="Arial"/>
          <w:sz w:val="18"/>
          <w:szCs w:val="18"/>
          <w:color w:val="auto"/>
        </w:rPr>
      </w:pPr>
    </w:p>
    <w:p>
      <w:pPr>
        <w:ind w:left="1300" w:hanging="442"/>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33" w:name="page134"/>
    <w:bookmarkEnd w:id="133"/>
    <w:p>
      <w:pPr>
        <w:ind w:right="300" w:firstLine="864"/>
        <w:spacing w:after="0" w:line="277" w:lineRule="auto"/>
        <w:rPr>
          <w:sz w:val="20"/>
          <w:szCs w:val="20"/>
          <w:color w:val="auto"/>
        </w:rPr>
      </w:pPr>
      <w:r>
        <w:rPr>
          <w:rFonts w:ascii="Arial" w:cs="Arial" w:eastAsia="Arial" w:hAnsi="Arial"/>
          <w:sz w:val="18"/>
          <w:szCs w:val="18"/>
          <w:color w:val="auto"/>
        </w:rPr>
        <w:t>Any amendment or repeal of these provisions will require the approval of the holders of shares representing at least two-thirds of the shares entitled to vote in the election of directors, voting as one class.</w:t>
      </w:r>
    </w:p>
    <w:p>
      <w:pPr>
        <w:spacing w:after="0" w:line="170"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Our restated certificate of incorporation and amended and restated bylaws also provide that we will indemnify our directors and officers to the fullest extent permitted by Delaware law. Our restated certificate of incorporation and amended and restated bylaws also permit us to purchase insurance on behalf of any officer, director, employee or other agent for any liability arising out of his or her actions as our officer, director, employee or agent, regardless of whether Delaware law would permit indemnification. We have entered into separate indemnification agreements with our directors and officers that require us, among other things, to indemnify them against certain liabilities that may arise by reason of their status or service as directors and to advance their expenses incurred as a result of any proceeding against them as to which they could be indemnified. We believe that the limitation of liability provision in our restated certificate of incorporation and the indemnification agreements facilitate our ability to continue to attract and retain qualified individuals to serve as directors and officers. 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Exchange Listing</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listed on The Nasdaq Global Select Market under the symbol “RGNX.”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16" w:right="359" w:bottom="1440" w:gutter="0" w:footer="0" w:header="0"/>
        </w:sectPr>
      </w:pPr>
    </w:p>
    <w:bookmarkStart w:id="134" w:name="page135"/>
    <w:bookmarkEnd w:id="134"/>
    <w:p>
      <w:pPr>
        <w:ind w:left="10020"/>
        <w:spacing w:after="0"/>
        <w:rPr>
          <w:sz w:val="20"/>
          <w:szCs w:val="20"/>
          <w:color w:val="auto"/>
        </w:rPr>
      </w:pPr>
      <w:r>
        <w:rPr>
          <w:rFonts w:ascii="Arial" w:cs="Arial" w:eastAsia="Arial" w:hAnsi="Arial"/>
          <w:sz w:val="18"/>
          <w:szCs w:val="18"/>
          <w:b w:val="1"/>
          <w:bCs w:val="1"/>
          <w:color w:val="auto"/>
        </w:rPr>
        <w:t>EXHIBIT 10.40</w:t>
      </w:r>
    </w:p>
    <w:p>
      <w:pPr>
        <w:spacing w:after="0" w:line="11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this exhibit pursuant to Item 601(b)(10)(iv) of Regulation S-K because such information both (i) is not material and (ii) would likely cause competitive harm if publicly disclosed. Excluded information is indicated with brackets and asterisks.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SETTLEMENT AGREEMENT AND MUTUAL RELEASE</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This Settlement Agreement and Mutual Release (“</w:t>
      </w:r>
      <w:r>
        <w:rPr>
          <w:rFonts w:ascii="Arial" w:cs="Arial" w:eastAsia="Arial" w:hAnsi="Arial"/>
          <w:sz w:val="22"/>
          <w:szCs w:val="22"/>
          <w:b w:val="1"/>
          <w:bCs w:val="1"/>
          <w:color w:val="auto"/>
        </w:rPr>
        <w:t>Settlement Agreement</w:t>
      </w:r>
      <w:r>
        <w:rPr>
          <w:rFonts w:ascii="Arial" w:cs="Arial" w:eastAsia="Arial" w:hAnsi="Arial"/>
          <w:sz w:val="22"/>
          <w:szCs w:val="22"/>
          <w:color w:val="auto"/>
        </w:rPr>
        <w:t>”) is entered into by and between REGENXBIO Inc. (“</w:t>
      </w:r>
      <w:r>
        <w:rPr>
          <w:rFonts w:ascii="Arial" w:cs="Arial" w:eastAsia="Arial" w:hAnsi="Arial"/>
          <w:sz w:val="22"/>
          <w:szCs w:val="22"/>
          <w:b w:val="1"/>
          <w:bCs w:val="1"/>
          <w:color w:val="auto"/>
        </w:rPr>
        <w:t>REGENXBIO</w:t>
      </w:r>
      <w:r>
        <w:rPr>
          <w:rFonts w:ascii="Arial" w:cs="Arial" w:eastAsia="Arial" w:hAnsi="Arial"/>
          <w:sz w:val="22"/>
          <w:szCs w:val="22"/>
          <w:color w:val="auto"/>
        </w:rPr>
        <w:t>”) and Abeona Therapeutics Inc. (“</w:t>
      </w:r>
      <w:r>
        <w:rPr>
          <w:rFonts w:ascii="Arial" w:cs="Arial" w:eastAsia="Arial" w:hAnsi="Arial"/>
          <w:sz w:val="22"/>
          <w:szCs w:val="22"/>
          <w:b w:val="1"/>
          <w:bCs w:val="1"/>
          <w:color w:val="auto"/>
        </w:rPr>
        <w:t>Abeona</w:t>
      </w:r>
      <w:r>
        <w:rPr>
          <w:rFonts w:ascii="Arial" w:cs="Arial" w:eastAsia="Arial" w:hAnsi="Arial"/>
          <w:sz w:val="22"/>
          <w:szCs w:val="22"/>
          <w:color w:val="auto"/>
        </w:rPr>
        <w:t>”) and is effective as of the date of the last signature hereto (the “</w:t>
      </w:r>
      <w:r>
        <w:rPr>
          <w:rFonts w:ascii="Arial" w:cs="Arial" w:eastAsia="Arial" w:hAnsi="Arial"/>
          <w:sz w:val="22"/>
          <w:szCs w:val="22"/>
          <w:b w:val="1"/>
          <w:bCs w:val="1"/>
          <w:color w:val="auto"/>
        </w:rPr>
        <w:t>Effective Date</w:t>
      </w:r>
      <w:r>
        <w:rPr>
          <w:rFonts w:ascii="Arial" w:cs="Arial" w:eastAsia="Arial" w:hAnsi="Arial"/>
          <w:sz w:val="22"/>
          <w:szCs w:val="22"/>
          <w:color w:val="auto"/>
        </w:rPr>
        <w:t>”). REGENXBIO and Abeona are collectively referred to as the “</w:t>
      </w:r>
      <w:r>
        <w:rPr>
          <w:rFonts w:ascii="Arial" w:cs="Arial" w:eastAsia="Arial" w:hAnsi="Arial"/>
          <w:sz w:val="22"/>
          <w:szCs w:val="22"/>
          <w:b w:val="1"/>
          <w:bCs w:val="1"/>
          <w:color w:val="auto"/>
        </w:rPr>
        <w:t>Parties</w:t>
      </w:r>
      <w:r>
        <w:rPr>
          <w:rFonts w:ascii="Arial" w:cs="Arial" w:eastAsia="Arial" w:hAnsi="Arial"/>
          <w:sz w:val="22"/>
          <w:szCs w:val="22"/>
          <w:color w:val="auto"/>
        </w:rPr>
        <w:t>” in this Settlement Agreement, and each a “</w:t>
      </w:r>
      <w:r>
        <w:rPr>
          <w:rFonts w:ascii="Arial" w:cs="Arial" w:eastAsia="Arial" w:hAnsi="Arial"/>
          <w:sz w:val="22"/>
          <w:szCs w:val="22"/>
          <w:b w:val="1"/>
          <w:bCs w:val="1"/>
          <w:color w:val="auto"/>
        </w:rPr>
        <w:t>Party</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REGENXBIO and Abeona were parties to a License Agreement dated November 4, 2018, as amended on</w:t>
      </w:r>
      <w:r>
        <w:rPr>
          <w:rFonts w:ascii="Arial" w:cs="Arial" w:eastAsia="Arial" w:hAnsi="Arial"/>
          <w:sz w:val="21"/>
          <w:szCs w:val="21"/>
          <w:b w:val="1"/>
          <w:bCs w:val="1"/>
          <w:color w:val="auto"/>
        </w:rPr>
        <w:t xml:space="preserve"> </w:t>
      </w:r>
      <w:r>
        <w:rPr>
          <w:rFonts w:ascii="Arial" w:cs="Arial" w:eastAsia="Arial" w:hAnsi="Arial"/>
          <w:sz w:val="21"/>
          <w:szCs w:val="21"/>
          <w:color w:val="auto"/>
        </w:rPr>
        <w:t>November 4, 2019 (the “</w:t>
      </w:r>
      <w:r>
        <w:rPr>
          <w:rFonts w:ascii="Arial" w:cs="Arial" w:eastAsia="Arial" w:hAnsi="Arial"/>
          <w:sz w:val="21"/>
          <w:szCs w:val="21"/>
          <w:b w:val="1"/>
          <w:bCs w:val="1"/>
          <w:color w:val="auto"/>
        </w:rPr>
        <w:t>License Agreement</w:t>
      </w:r>
      <w:r>
        <w:rPr>
          <w:rFonts w:ascii="Arial" w:cs="Arial" w:eastAsia="Arial" w:hAnsi="Arial"/>
          <w:sz w:val="21"/>
          <w:szCs w:val="21"/>
          <w:color w:val="auto"/>
        </w:rPr>
        <w:t>”), whereby REGENXBIO licensed certain adeno-associated virus serotype 9 (“</w:t>
      </w:r>
      <w:r>
        <w:rPr>
          <w:rFonts w:ascii="Arial" w:cs="Arial" w:eastAsia="Arial" w:hAnsi="Arial"/>
          <w:sz w:val="21"/>
          <w:szCs w:val="21"/>
          <w:b w:val="1"/>
          <w:bCs w:val="1"/>
          <w:color w:val="auto"/>
        </w:rPr>
        <w:t>AAV9</w:t>
      </w:r>
      <w:r>
        <w:rPr>
          <w:rFonts w:ascii="Arial" w:cs="Arial" w:eastAsia="Arial" w:hAnsi="Arial"/>
          <w:sz w:val="21"/>
          <w:szCs w:val="21"/>
          <w:color w:val="auto"/>
        </w:rPr>
        <w:t>”) technology to Abeona for the exclusive use in four specific fields: (a) treatment of Neuronal Ceroid Lipofuscinosis-1 (“</w:t>
      </w:r>
      <w:r>
        <w:rPr>
          <w:rFonts w:ascii="Arial" w:cs="Arial" w:eastAsia="Arial" w:hAnsi="Arial"/>
          <w:sz w:val="21"/>
          <w:szCs w:val="21"/>
          <w:b w:val="1"/>
          <w:bCs w:val="1"/>
          <w:color w:val="auto"/>
        </w:rPr>
        <w:t>CLN1</w:t>
      </w:r>
      <w:r>
        <w:rPr>
          <w:rFonts w:ascii="Arial" w:cs="Arial" w:eastAsia="Arial" w:hAnsi="Arial"/>
          <w:sz w:val="21"/>
          <w:szCs w:val="21"/>
          <w:color w:val="auto"/>
        </w:rPr>
        <w:t>”); (b) treatment of Neuronal Ceroid Lipofuscinosis-3 (“</w:t>
      </w:r>
      <w:r>
        <w:rPr>
          <w:rFonts w:ascii="Arial" w:cs="Arial" w:eastAsia="Arial" w:hAnsi="Arial"/>
          <w:sz w:val="21"/>
          <w:szCs w:val="21"/>
          <w:b w:val="1"/>
          <w:bCs w:val="1"/>
          <w:color w:val="auto"/>
        </w:rPr>
        <w:t>CLN3</w:t>
      </w:r>
      <w:r>
        <w:rPr>
          <w:rFonts w:ascii="Arial" w:cs="Arial" w:eastAsia="Arial" w:hAnsi="Arial"/>
          <w:sz w:val="21"/>
          <w:szCs w:val="21"/>
          <w:color w:val="auto"/>
        </w:rPr>
        <w:t>”); (c) treatment of Mucopolysaccharidosis type IIIA (“</w:t>
      </w:r>
      <w:r>
        <w:rPr>
          <w:rFonts w:ascii="Arial" w:cs="Arial" w:eastAsia="Arial" w:hAnsi="Arial"/>
          <w:sz w:val="21"/>
          <w:szCs w:val="21"/>
          <w:b w:val="1"/>
          <w:bCs w:val="1"/>
          <w:color w:val="auto"/>
        </w:rPr>
        <w:t>MPS IIIA</w:t>
      </w:r>
      <w:r>
        <w:rPr>
          <w:rFonts w:ascii="Arial" w:cs="Arial" w:eastAsia="Arial" w:hAnsi="Arial"/>
          <w:sz w:val="21"/>
          <w:szCs w:val="21"/>
          <w:color w:val="auto"/>
        </w:rPr>
        <w:t>”); and (d) treatment of Mucopolysaccharidosis type IIIB (“</w:t>
      </w:r>
      <w:r>
        <w:rPr>
          <w:rFonts w:ascii="Arial" w:cs="Arial" w:eastAsia="Arial" w:hAnsi="Arial"/>
          <w:sz w:val="21"/>
          <w:szCs w:val="21"/>
          <w:b w:val="1"/>
          <w:bCs w:val="1"/>
          <w:color w:val="auto"/>
        </w:rPr>
        <w:t>MPS IIIB</w:t>
      </w:r>
      <w:r>
        <w:rPr>
          <w:rFonts w:ascii="Arial" w:cs="Arial" w:eastAsia="Arial" w:hAnsi="Arial"/>
          <w:sz w:val="21"/>
          <w:szCs w:val="21"/>
          <w:color w:val="auto"/>
        </w:rPr>
        <w:t>”);</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License Agreement terminated on May 2, 2020;</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May 25, 2020, Abeona filed a Demand for Arbitration with the American Arbitration Association</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AAA</w:t>
      </w:r>
      <w:r>
        <w:rPr>
          <w:rFonts w:ascii="Arial" w:cs="Arial" w:eastAsia="Arial" w:hAnsi="Arial"/>
          <w:sz w:val="22"/>
          <w:szCs w:val="22"/>
          <w:color w:val="auto"/>
        </w:rPr>
        <w:t xml:space="preserve">”), styled </w:t>
      </w:r>
      <w:r>
        <w:rPr>
          <w:rFonts w:ascii="Arial" w:cs="Arial" w:eastAsia="Arial" w:hAnsi="Arial"/>
          <w:sz w:val="22"/>
          <w:szCs w:val="22"/>
          <w:i w:val="1"/>
          <w:iCs w:val="1"/>
          <w:color w:val="auto"/>
        </w:rPr>
        <w:t>Abeona Therapeutics Inc. v. REGENXBIO Inc.</w:t>
      </w:r>
      <w:r>
        <w:rPr>
          <w:rFonts w:ascii="Arial" w:cs="Arial" w:eastAsia="Arial" w:hAnsi="Arial"/>
          <w:sz w:val="22"/>
          <w:szCs w:val="22"/>
          <w:color w:val="auto"/>
        </w:rPr>
        <w:t>, Case No. 01-20-0005-3750 (the “</w:t>
      </w:r>
      <w:r>
        <w:rPr>
          <w:rFonts w:ascii="Arial" w:cs="Arial" w:eastAsia="Arial" w:hAnsi="Arial"/>
          <w:sz w:val="22"/>
          <w:szCs w:val="22"/>
          <w:b w:val="1"/>
          <w:bCs w:val="1"/>
          <w:color w:val="auto"/>
        </w:rPr>
        <w:t>First Arbitration</w:t>
      </w:r>
      <w:r>
        <w:rPr>
          <w:rFonts w:ascii="Arial" w:cs="Arial" w:eastAsia="Arial" w:hAnsi="Arial"/>
          <w:sz w:val="22"/>
          <w:szCs w:val="22"/>
          <w:color w:val="auto"/>
        </w:rPr>
        <w:t>”) and asserted a breach of contract claim against REGENXBIO;</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June 10, 2020, REGENXBIO filed an Answer to Abeona’s Demand for Arbitration in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Arbitration and asserted a counterclaim for breach of contract against Abeona;</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First Arbitration proceeded through discovery, an evidentiary hearing, and post-hearing briefing;</w:t>
      </w:r>
    </w:p>
    <w:p>
      <w:pPr>
        <w:spacing w:after="0" w:line="24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July 13, 2021, the tribunal in the First Arbitration issued a final arbitration award that denied Abeona’s</w:t>
      </w:r>
      <w:r>
        <w:rPr>
          <w:rFonts w:ascii="Arial" w:cs="Arial" w:eastAsia="Arial" w:hAnsi="Arial"/>
          <w:sz w:val="22"/>
          <w:szCs w:val="22"/>
          <w:b w:val="1"/>
          <w:bCs w:val="1"/>
          <w:color w:val="auto"/>
        </w:rPr>
        <w:t xml:space="preserve"> </w:t>
      </w:r>
      <w:r>
        <w:rPr>
          <w:rFonts w:ascii="Arial" w:cs="Arial" w:eastAsia="Arial" w:hAnsi="Arial"/>
          <w:sz w:val="22"/>
          <w:szCs w:val="22"/>
          <w:color w:val="auto"/>
        </w:rPr>
        <w:t>claim against REGENXBIO, upheld REGENXBIO’s counterclaim against Abeona, and awarded REGENXBIO an amount of $34,125,094.73;</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July 16, 2021, REGENXBIO initiated a special proceeding in New York state court to confirm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final arbitration award from the First Arbitration, as amended on July 23, 2021 and supplemented on August 13, 2021, styled </w:t>
      </w:r>
      <w:r>
        <w:rPr>
          <w:rFonts w:ascii="Arial" w:cs="Arial" w:eastAsia="Arial" w:hAnsi="Arial"/>
          <w:sz w:val="22"/>
          <w:szCs w:val="22"/>
          <w:i w:val="1"/>
          <w:iCs w:val="1"/>
          <w:color w:val="auto"/>
        </w:rPr>
        <w:t>In</w:t>
      </w:r>
      <w:r>
        <w:rPr>
          <w:rFonts w:ascii="Arial" w:cs="Arial" w:eastAsia="Arial" w:hAnsi="Arial"/>
          <w:sz w:val="22"/>
          <w:szCs w:val="22"/>
          <w:color w:val="auto"/>
        </w:rPr>
        <w:t xml:space="preserve"> </w:t>
      </w:r>
      <w:r>
        <w:rPr>
          <w:rFonts w:ascii="Arial" w:cs="Arial" w:eastAsia="Arial" w:hAnsi="Arial"/>
          <w:sz w:val="22"/>
          <w:szCs w:val="22"/>
          <w:i w:val="1"/>
          <w:iCs w:val="1"/>
          <w:color w:val="auto"/>
        </w:rPr>
        <w:t>the Matter of the Application of REGENXBIO Inc. v. Abeona Therapeutics Inc</w:t>
      </w:r>
      <w:r>
        <w:rPr>
          <w:rFonts w:ascii="Arial" w:cs="Arial" w:eastAsia="Arial" w:hAnsi="Arial"/>
          <w:sz w:val="22"/>
          <w:szCs w:val="22"/>
          <w:color w:val="auto"/>
        </w:rPr>
        <w:t>., Index No. 654413/2021 (“</w:t>
      </w:r>
      <w:r>
        <w:rPr>
          <w:rFonts w:ascii="Arial" w:cs="Arial" w:eastAsia="Arial" w:hAnsi="Arial"/>
          <w:sz w:val="22"/>
          <w:szCs w:val="22"/>
          <w:b w:val="1"/>
          <w:bCs w:val="1"/>
          <w:color w:val="auto"/>
        </w:rPr>
        <w:t>the Enforcement</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Petition</w:t>
      </w:r>
      <w:r>
        <w:rPr>
          <w:rFonts w:ascii="Arial" w:cs="Arial" w:eastAsia="Arial" w:hAnsi="Arial"/>
          <w:sz w:val="22"/>
          <w:szCs w:val="22"/>
          <w:color w:val="auto"/>
        </w:rPr>
        <w:t>”);</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August 5, 2021, the tribunal in the First Arbitration issued the corrected final arbitration award, which</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the amount that Abeona owed REGENXBIO to $33,648,000.00;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both"/>
        <w:ind w:firstLine="864"/>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August 9, 2021, Abeona filed a Demand for Arbitration with the AAA, styled</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Abeona Therapeutics</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Inc. v. REGENXBIO Inc</w:t>
      </w:r>
      <w:r>
        <w:rPr>
          <w:rFonts w:ascii="Arial" w:cs="Arial" w:eastAsia="Arial" w:hAnsi="Arial"/>
          <w:sz w:val="22"/>
          <w:szCs w:val="22"/>
          <w:color w:val="auto"/>
        </w:rPr>
        <w:t>., AAA No. 01-21-0016-0896 (the “</w:t>
      </w:r>
      <w:r>
        <w:rPr>
          <w:rFonts w:ascii="Arial" w:cs="Arial" w:eastAsia="Arial" w:hAnsi="Arial"/>
          <w:sz w:val="22"/>
          <w:szCs w:val="22"/>
          <w:b w:val="1"/>
          <w:bCs w:val="1"/>
          <w:color w:val="auto"/>
        </w:rPr>
        <w:t>Second Arbitration</w:t>
      </w:r>
      <w:r>
        <w:rPr>
          <w:rFonts w:ascii="Arial" w:cs="Arial" w:eastAsia="Arial" w:hAnsi="Arial"/>
          <w:sz w:val="22"/>
          <w:szCs w:val="22"/>
          <w:color w:val="auto"/>
        </w:rPr>
        <w:t>”), and together with the</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First Arbitration</w:t>
      </w:r>
      <w:r>
        <w:rPr>
          <w:rFonts w:ascii="Arial" w:cs="Arial" w:eastAsia="Arial" w:hAnsi="Arial"/>
          <w:sz w:val="22"/>
          <w:szCs w:val="22"/>
          <w:i w:val="1"/>
          <w:iCs w:val="1"/>
          <w:color w:val="auto"/>
        </w:rPr>
        <w:t xml:space="preserve"> </w:t>
      </w:r>
      <w:r>
        <w:rPr>
          <w:rFonts w:ascii="Arial" w:cs="Arial" w:eastAsia="Arial" w:hAnsi="Arial"/>
          <w:sz w:val="22"/>
          <w:szCs w:val="22"/>
          <w:color w:val="auto"/>
        </w:rPr>
        <w:t>(“the</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Arbitrations</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September 14, 2021, REGENXBIO filed an Answering Statement, Counterclaim, and Request for</w:t>
      </w:r>
      <w:r>
        <w:rPr>
          <w:rFonts w:ascii="Arial" w:cs="Arial" w:eastAsia="Arial" w:hAnsi="Arial"/>
          <w:sz w:val="22"/>
          <w:szCs w:val="22"/>
          <w:b w:val="1"/>
          <w:bCs w:val="1"/>
          <w:color w:val="auto"/>
        </w:rPr>
        <w:t xml:space="preserve"> </w:t>
      </w:r>
      <w:r>
        <w:rPr>
          <w:rFonts w:ascii="Arial" w:cs="Arial" w:eastAsia="Arial" w:hAnsi="Arial"/>
          <w:sz w:val="22"/>
          <w:szCs w:val="22"/>
          <w:color w:val="auto"/>
        </w:rPr>
        <w:t>Permission to File a Dispositive Motion in the Second Arbitration;</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September 28, 2021 Abeona filed an Answering Statement to REGENXBIO’s Counterclaim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Arbitration;</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have agreed to resolve the current disputes between them, namely the Arbitrations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Petition, and set forth below the terms and conditions of their resolution; and</w:t>
      </w:r>
    </w:p>
    <w:p>
      <w:pPr>
        <w:spacing w:after="0" w:line="162" w:lineRule="exact"/>
        <w:rPr>
          <w:sz w:val="20"/>
          <w:szCs w:val="20"/>
          <w:color w:val="auto"/>
        </w:rPr>
      </w:pPr>
    </w:p>
    <w:p>
      <w:pPr>
        <w:ind w:right="700" w:firstLine="864"/>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have agreed that this Settlement Agreement will not include a license of any kind from</w:t>
      </w:r>
      <w:r>
        <w:rPr>
          <w:rFonts w:ascii="Arial" w:cs="Arial" w:eastAsia="Arial" w:hAnsi="Arial"/>
          <w:sz w:val="21"/>
          <w:szCs w:val="21"/>
          <w:b w:val="1"/>
          <w:bCs w:val="1"/>
          <w:color w:val="auto"/>
        </w:rPr>
        <w:t xml:space="preserve"> </w:t>
      </w:r>
      <w:r>
        <w:rPr>
          <w:rFonts w:ascii="Arial" w:cs="Arial" w:eastAsia="Arial" w:hAnsi="Arial"/>
          <w:sz w:val="21"/>
          <w:szCs w:val="21"/>
          <w:color w:val="auto"/>
        </w:rPr>
        <w:t>REGENXBIO to Abeona, and any future license between the Parties would have to be negotiated separately and require additional consideration than the consideration set forth in this Settlement Agreement.</w:t>
      </w:r>
    </w:p>
    <w:p>
      <w:pPr>
        <w:spacing w:after="0" w:line="160" w:lineRule="exact"/>
        <w:rPr>
          <w:sz w:val="20"/>
          <w:szCs w:val="20"/>
          <w:color w:val="auto"/>
        </w:rPr>
      </w:pPr>
    </w:p>
    <w:p>
      <w:pPr>
        <w:ind w:firstLine="864"/>
        <w:spacing w:after="0" w:line="33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contained in this Settlement Agreement, and for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the Parties acknowledge, the Parties agree as follows: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12" w:lineRule="exact"/>
        <w:rPr>
          <w:sz w:val="20"/>
          <w:szCs w:val="20"/>
          <w:color w:val="auto"/>
        </w:rPr>
      </w:pPr>
    </w:p>
    <w:p>
      <w:pPr>
        <w:jc w:val="both"/>
        <w:ind w:right="20" w:firstLine="872"/>
        <w:spacing w:after="0" w:line="297" w:lineRule="auto"/>
        <w:tabs>
          <w:tab w:leader="none" w:pos="1674"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Settlement Payment:</w:t>
      </w:r>
      <w:r>
        <w:rPr>
          <w:rFonts w:ascii="Arial" w:cs="Arial" w:eastAsia="Arial" w:hAnsi="Arial"/>
          <w:sz w:val="19"/>
          <w:szCs w:val="19"/>
          <w:color w:val="auto"/>
        </w:rPr>
        <w:t xml:space="preserve"> As consideration for REGENXBIO’s execution of and compliance with this Settlement Agreement, including without limitation its Release of claims as set forth in Section 5(b) below, Abeona will pay REGENXBIO a total of $30,000,000.00 (in United States Dollars) (the “</w:t>
      </w:r>
      <w:r>
        <w:rPr>
          <w:rFonts w:ascii="Arial" w:cs="Arial" w:eastAsia="Arial" w:hAnsi="Arial"/>
          <w:sz w:val="19"/>
          <w:szCs w:val="19"/>
          <w:b w:val="1"/>
          <w:bCs w:val="1"/>
          <w:color w:val="auto"/>
        </w:rPr>
        <w:t>Settlement Payment</w:t>
      </w:r>
      <w:r>
        <w:rPr>
          <w:rFonts w:ascii="Arial" w:cs="Arial" w:eastAsia="Arial" w:hAnsi="Arial"/>
          <w:sz w:val="19"/>
          <w:szCs w:val="19"/>
          <w:color w:val="auto"/>
        </w:rPr>
        <w:t>”), which shall be payable as follows:</w:t>
      </w:r>
    </w:p>
    <w:p>
      <w:pPr>
        <w:spacing w:after="0" w:line="128" w:lineRule="exact"/>
        <w:rPr>
          <w:sz w:val="20"/>
          <w:szCs w:val="20"/>
          <w:color w:val="auto"/>
        </w:rPr>
      </w:pPr>
    </w:p>
    <w:p>
      <w:pPr>
        <w:ind w:left="1160" w:hanging="288"/>
        <w:spacing w:after="0"/>
        <w:tabs>
          <w:tab w:leader="none" w:pos="11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$20,000,000.00 within [****] of the Effective Date (the “</w:t>
      </w:r>
      <w:r>
        <w:rPr>
          <w:rFonts w:ascii="Arial" w:cs="Arial" w:eastAsia="Arial" w:hAnsi="Arial"/>
          <w:sz w:val="22"/>
          <w:szCs w:val="22"/>
          <w:b w:val="1"/>
          <w:bCs w:val="1"/>
          <w:color w:val="auto"/>
        </w:rPr>
        <w:t>First Installment of the Settlement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hanging="8"/>
        <w:spacing w:after="0" w:line="256" w:lineRule="auto"/>
        <w:tabs>
          <w:tab w:leader="none" w:pos="1251" w:val="left"/>
        </w:tabs>
        <w:numPr>
          <w:ilvl w:val="0"/>
          <w:numId w:val="78"/>
        </w:numPr>
        <w:rPr>
          <w:rFonts w:ascii="Arial" w:cs="Arial" w:eastAsia="Arial" w:hAnsi="Arial"/>
          <w:sz w:val="22"/>
          <w:szCs w:val="22"/>
          <w:color w:val="auto"/>
        </w:rPr>
      </w:pPr>
      <w:r>
        <w:rPr>
          <w:rFonts w:ascii="Arial" w:cs="Arial" w:eastAsia="Arial" w:hAnsi="Arial"/>
          <w:sz w:val="22"/>
          <w:szCs w:val="22"/>
          <w:color w:val="auto"/>
        </w:rPr>
        <w:t>$5,000,000.00 on the first anniversary of the Effective Date (the “</w:t>
      </w:r>
      <w:r>
        <w:rPr>
          <w:rFonts w:ascii="Arial" w:cs="Arial" w:eastAsia="Arial" w:hAnsi="Arial"/>
          <w:sz w:val="22"/>
          <w:szCs w:val="22"/>
          <w:b w:val="1"/>
          <w:bCs w:val="1"/>
          <w:color w:val="auto"/>
        </w:rPr>
        <w:t>Second Installment of the Settlement</w:t>
      </w:r>
      <w:r>
        <w:rPr>
          <w:rFonts w:ascii="Arial" w:cs="Arial" w:eastAsia="Arial" w:hAnsi="Arial"/>
          <w:sz w:val="22"/>
          <w:szCs w:val="22"/>
          <w:color w:val="auto"/>
        </w:rPr>
        <w:t xml:space="preserve"> </w:t>
      </w:r>
      <w:r>
        <w:rPr>
          <w:rFonts w:ascii="Arial" w:cs="Arial" w:eastAsia="Arial" w:hAnsi="Arial"/>
          <w:sz w:val="22"/>
          <w:szCs w:val="22"/>
          <w:b w:val="1"/>
          <w:bCs w:val="1"/>
          <w:color w:val="auto"/>
        </w:rPr>
        <w:t>Payment</w:t>
      </w:r>
      <w:r>
        <w:rPr>
          <w:rFonts w:ascii="Arial" w:cs="Arial" w:eastAsia="Arial" w:hAnsi="Arial"/>
          <w:sz w:val="22"/>
          <w:szCs w:val="22"/>
          <w:color w:val="auto"/>
        </w:rPr>
        <w:t>”); and</w:t>
      </w:r>
    </w:p>
    <w:p>
      <w:pPr>
        <w:spacing w:after="0" w:line="168" w:lineRule="exact"/>
        <w:rPr>
          <w:rFonts w:ascii="Arial" w:cs="Arial" w:eastAsia="Arial" w:hAnsi="Arial"/>
          <w:sz w:val="22"/>
          <w:szCs w:val="22"/>
          <w:color w:val="auto"/>
        </w:rPr>
      </w:pPr>
    </w:p>
    <w:p>
      <w:pPr>
        <w:jc w:val="both"/>
        <w:ind w:left="880" w:hanging="8"/>
        <w:spacing w:after="0" w:line="248" w:lineRule="auto"/>
        <w:tabs>
          <w:tab w:leader="none" w:pos="1198" w:val="left"/>
        </w:tabs>
        <w:numPr>
          <w:ilvl w:val="0"/>
          <w:numId w:val="78"/>
        </w:numPr>
        <w:rPr>
          <w:rFonts w:ascii="Arial" w:cs="Arial" w:eastAsia="Arial" w:hAnsi="Arial"/>
          <w:sz w:val="21"/>
          <w:szCs w:val="21"/>
          <w:color w:val="auto"/>
        </w:rPr>
      </w:pPr>
      <w:r>
        <w:rPr>
          <w:rFonts w:ascii="Arial" w:cs="Arial" w:eastAsia="Arial" w:hAnsi="Arial"/>
          <w:sz w:val="21"/>
          <w:szCs w:val="21"/>
          <w:color w:val="auto"/>
        </w:rPr>
        <w:t>$5,000,000.00 on the earlier of: (i) the third anniversary of the Effective Date; or (ii) the closing of a Strategic Transaction (the “</w:t>
      </w:r>
      <w:r>
        <w:rPr>
          <w:rFonts w:ascii="Arial" w:cs="Arial" w:eastAsia="Arial" w:hAnsi="Arial"/>
          <w:sz w:val="21"/>
          <w:szCs w:val="21"/>
          <w:b w:val="1"/>
          <w:bCs w:val="1"/>
          <w:color w:val="auto"/>
        </w:rPr>
        <w:t>Third Installment of the Settlement Payment</w:t>
      </w:r>
      <w:r>
        <w:rPr>
          <w:rFonts w:ascii="Arial" w:cs="Arial" w:eastAsia="Arial" w:hAnsi="Arial"/>
          <w:sz w:val="21"/>
          <w:szCs w:val="21"/>
          <w:color w:val="auto"/>
        </w:rPr>
        <w:t>”). The term “</w:t>
      </w:r>
      <w:r>
        <w:rPr>
          <w:rFonts w:ascii="Arial" w:cs="Arial" w:eastAsia="Arial" w:hAnsi="Arial"/>
          <w:sz w:val="21"/>
          <w:szCs w:val="21"/>
          <w:b w:val="1"/>
          <w:bCs w:val="1"/>
          <w:color w:val="auto"/>
        </w:rPr>
        <w:t>Strategic Transaction</w:t>
      </w:r>
      <w:r>
        <w:rPr>
          <w:rFonts w:ascii="Arial" w:cs="Arial" w:eastAsia="Arial" w:hAnsi="Arial"/>
          <w:sz w:val="21"/>
          <w:szCs w:val="21"/>
          <w:color w:val="auto"/>
        </w:rPr>
        <w:t>” shall mean any transaction to which Abeona or any affiliate is a Party and through which Abeona receives or becomes due to receive at least [****] from a counterparty or counterparties, including, [****]. For the avoidance of doubt, and without limitation, a Strategic Transaction shall not include any financing transaction or any transaction under Abeona’s 2015 Equity Incentive Plan or at-the-market offering of Abeona’s stock.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SETTLEMENT AGREEMENT AND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6" w:name="page137"/>
    <w:bookmarkEnd w:id="136"/>
    <w:p>
      <w:pPr>
        <w:jc w:val="both"/>
        <w:spacing w:after="0" w:line="249" w:lineRule="auto"/>
        <w:rPr>
          <w:sz w:val="20"/>
          <w:szCs w:val="20"/>
          <w:color w:val="auto"/>
        </w:rPr>
      </w:pPr>
      <w:r>
        <w:rPr>
          <w:rFonts w:ascii="Arial" w:cs="Arial" w:eastAsia="Arial" w:hAnsi="Arial"/>
          <w:sz w:val="21"/>
          <w:szCs w:val="21"/>
          <w:color w:val="auto"/>
        </w:rPr>
        <w:t>As security for its obligation to pay the Second Installment of the Settlement Payment, Abeona will provide REGENXBIO with an irrevocable standby letter of credit in the amount of $5,000,000.00 guaranteed by a reputable financial institution formed under the federal laws of the United States and which is reasonably acceptable to REGENXBIO within [****] of the Effective Date. The First Installment of the Settlement Payment, Second Installment of the Settlement Payment, and Third Installment of the Settlement Payment will be made via wire transfer. [****].</w:t>
      </w:r>
    </w:p>
    <w:p>
      <w:pPr>
        <w:spacing w:after="0" w:line="178" w:lineRule="exact"/>
        <w:rPr>
          <w:sz w:val="20"/>
          <w:szCs w:val="20"/>
          <w:color w:val="auto"/>
        </w:rPr>
      </w:pPr>
    </w:p>
    <w:p>
      <w:pPr>
        <w:jc w:val="both"/>
        <w:ind w:firstLine="872"/>
        <w:spacing w:after="0" w:line="248" w:lineRule="auto"/>
        <w:tabs>
          <w:tab w:leader="none" w:pos="1674"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Notice of Strategic Transaction</w:t>
      </w:r>
      <w:r>
        <w:rPr>
          <w:rFonts w:ascii="Arial" w:cs="Arial" w:eastAsia="Arial" w:hAnsi="Arial"/>
          <w:sz w:val="21"/>
          <w:szCs w:val="21"/>
          <w:color w:val="auto"/>
        </w:rPr>
        <w:t>: Abeona agrees to notify REGENXBIO’s Chief Legal Officer in writing at least [****] before the anticipated closing of any Strategic Transaction that is scheduled to occur before the third anniversary of the Effective Date. REGENXBIO must maintain any such information in confidence, and must not use any such information for the purpose of engaging in any securities transaction, unless and until such information is announced publicly by Abeona or another party. REGENXBIO further agrees that it will not use any such information in a manner that competes with Abeona or that interferes with an anticipated Strategic Transaction.</w:t>
      </w:r>
    </w:p>
    <w:p>
      <w:pPr>
        <w:spacing w:after="0" w:line="176" w:lineRule="exact"/>
        <w:rPr>
          <w:rFonts w:ascii="Arial" w:cs="Arial" w:eastAsia="Arial" w:hAnsi="Arial"/>
          <w:sz w:val="21"/>
          <w:szCs w:val="21"/>
          <w:color w:val="auto"/>
        </w:rPr>
      </w:pPr>
    </w:p>
    <w:p>
      <w:pPr>
        <w:jc w:val="both"/>
        <w:ind w:firstLine="872"/>
        <w:spacing w:after="0" w:line="249" w:lineRule="auto"/>
        <w:tabs>
          <w:tab w:leader="none" w:pos="1674"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Joint Stipulations of Discontinuance and Dismissal</w:t>
      </w:r>
      <w:r>
        <w:rPr>
          <w:rFonts w:ascii="Arial" w:cs="Arial" w:eastAsia="Arial" w:hAnsi="Arial"/>
          <w:sz w:val="21"/>
          <w:szCs w:val="21"/>
          <w:color w:val="auto"/>
        </w:rPr>
        <w:t>: The Parties agree to execute and file a joint stipulation of discontinuance dismissing the Enforcement Petition and a joint stipulation dismissing the Second Arbitration within [****] of REGENXBIO’s receipt of and final clearance of the First Installment of the Settlement Payment described in Section 1 above. The Parties further agree to send a joint email to the AAA and the three arbitrators for the Second Arbitration within [****] of the Effective Date, informing them that the Parties have resolved their dispute.</w:t>
      </w:r>
    </w:p>
    <w:p>
      <w:pPr>
        <w:spacing w:after="0" w:line="178" w:lineRule="exact"/>
        <w:rPr>
          <w:rFonts w:ascii="Arial" w:cs="Arial" w:eastAsia="Arial" w:hAnsi="Arial"/>
          <w:sz w:val="21"/>
          <w:szCs w:val="21"/>
          <w:color w:val="auto"/>
        </w:rPr>
      </w:pPr>
    </w:p>
    <w:p>
      <w:pPr>
        <w:jc w:val="both"/>
        <w:ind w:firstLine="872"/>
        <w:spacing w:after="0" w:line="236" w:lineRule="auto"/>
        <w:tabs>
          <w:tab w:leader="none" w:pos="1674"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 Admission of Fault or Liability</w:t>
      </w:r>
      <w:r>
        <w:rPr>
          <w:rFonts w:ascii="Arial" w:cs="Arial" w:eastAsia="Arial" w:hAnsi="Arial"/>
          <w:sz w:val="22"/>
          <w:szCs w:val="22"/>
          <w:color w:val="auto"/>
        </w:rPr>
        <w:t>: REGENXBIO and Abeona agree that their mutual willingness to enter into this Settlement Agreement does not constitute, and shall not be construed as, any admission or acknowledgement of any fault or wrongdoing by either Party. REGENXBIO and Abeona agree that they will not represent to anyone that the other Party’s willingness to enter into this Settlement Agreement constitutes or represents an admission or acknowledgement of fault, breach, or any unlawful conduct or activity.</w:t>
      </w:r>
    </w:p>
    <w:p>
      <w:pPr>
        <w:spacing w:after="0" w:line="187" w:lineRule="exact"/>
        <w:rPr>
          <w:rFonts w:ascii="Arial" w:cs="Arial" w:eastAsia="Arial" w:hAnsi="Arial"/>
          <w:sz w:val="22"/>
          <w:szCs w:val="22"/>
          <w:color w:val="auto"/>
        </w:rPr>
      </w:pPr>
    </w:p>
    <w:p>
      <w:pPr>
        <w:ind w:left="1680" w:hanging="808"/>
        <w:spacing w:after="0"/>
        <w:tabs>
          <w:tab w:leader="none" w:pos="168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Mutual Releases.</w:t>
      </w:r>
    </w:p>
    <w:p>
      <w:pPr>
        <w:spacing w:after="0" w:line="206" w:lineRule="exact"/>
        <w:rPr>
          <w:rFonts w:ascii="Arial" w:cs="Arial" w:eastAsia="Arial" w:hAnsi="Arial"/>
          <w:sz w:val="22"/>
          <w:szCs w:val="22"/>
          <w:color w:val="auto"/>
        </w:rPr>
      </w:pPr>
    </w:p>
    <w:p>
      <w:pPr>
        <w:jc w:val="both"/>
        <w:ind w:firstLine="1735"/>
        <w:spacing w:after="0" w:line="273" w:lineRule="auto"/>
        <w:tabs>
          <w:tab w:leader="none" w:pos="2615"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Release by Abeona:</w:t>
      </w:r>
      <w:r>
        <w:rPr>
          <w:rFonts w:ascii="Arial" w:cs="Arial" w:eastAsia="Arial" w:hAnsi="Arial"/>
          <w:sz w:val="19"/>
          <w:szCs w:val="19"/>
          <w:color w:val="auto"/>
        </w:rPr>
        <w:t xml:space="preserve"> Abeona, on behalf of itself and all of its affiliates, officers, directors, employees, shareholders, legal representatives, successors and assigns (collectively, the “</w:t>
      </w:r>
      <w:r>
        <w:rPr>
          <w:rFonts w:ascii="Arial" w:cs="Arial" w:eastAsia="Arial" w:hAnsi="Arial"/>
          <w:sz w:val="19"/>
          <w:szCs w:val="19"/>
          <w:b w:val="1"/>
          <w:bCs w:val="1"/>
          <w:color w:val="auto"/>
        </w:rPr>
        <w:t>Abeona Releasing Parties</w:t>
      </w:r>
      <w:r>
        <w:rPr>
          <w:rFonts w:ascii="Arial" w:cs="Arial" w:eastAsia="Arial" w:hAnsi="Arial"/>
          <w:sz w:val="19"/>
          <w:szCs w:val="19"/>
          <w:color w:val="auto"/>
        </w:rPr>
        <w:t>”), forever releases and discharges REGENXBIO, its officers, directors, shareholders, affiliates, employees, contractors, agents, successors, and assigns and other legal representatives (collectively, the “</w:t>
      </w:r>
      <w:r>
        <w:rPr>
          <w:rFonts w:ascii="Arial" w:cs="Arial" w:eastAsia="Arial" w:hAnsi="Arial"/>
          <w:sz w:val="19"/>
          <w:szCs w:val="19"/>
          <w:b w:val="1"/>
          <w:bCs w:val="1"/>
          <w:color w:val="auto"/>
        </w:rPr>
        <w:t>REGENXBIO Released Parties</w:t>
      </w:r>
      <w:r>
        <w:rPr>
          <w:rFonts w:ascii="Arial" w:cs="Arial" w:eastAsia="Arial" w:hAnsi="Arial"/>
          <w:sz w:val="19"/>
          <w:szCs w:val="19"/>
          <w:color w:val="auto"/>
        </w:rPr>
        <w:t>”), from any and all claims, demands, actions, judgments and executions arising out of or relating to the License Agreement that it ever had, now has, or may have in the future, known or unknown, or that anyone claiming through them may have or claim to have against the REGENXBIO Released Parties, including but not limited to, all of the claims asserted by Abeona in the Arbitrations; provided, however, that the foregoing release does not preclude Abeona from asserting any available counterclaim or defense in any future action brought by any REGENXBIO Released Party arising out of or relating to alleged improper use, misuse, misappropriation, or infringement of any formerly Licensed Technology as defined in Section 1.20 of the License Agreement or any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SETTLEMENT AGREEMENT AND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7" w:name="page138"/>
    <w:bookmarkEnd w:id="137"/>
    <w:p>
      <w:pPr>
        <w:jc w:val="both"/>
        <w:spacing w:after="0"/>
        <w:rPr>
          <w:sz w:val="20"/>
          <w:szCs w:val="20"/>
          <w:color w:val="auto"/>
        </w:rPr>
      </w:pPr>
      <w:r>
        <w:rPr>
          <w:rFonts w:ascii="Arial" w:cs="Arial" w:eastAsia="Arial" w:hAnsi="Arial"/>
          <w:sz w:val="22"/>
          <w:szCs w:val="22"/>
          <w:color w:val="auto"/>
        </w:rPr>
        <w:t>other intellectual property rights of REGENXBIO. For the avoidance of doubt, the foregoing release does not apply to any claim, demand, action, judgment, or execution that Abeona may have, initiate, or obtain against REGENXBIO for a breach of any obligation under this Settlement Agreement.</w:t>
      </w:r>
    </w:p>
    <w:p>
      <w:pPr>
        <w:spacing w:after="0" w:line="186" w:lineRule="exact"/>
        <w:rPr>
          <w:sz w:val="20"/>
          <w:szCs w:val="20"/>
          <w:color w:val="auto"/>
        </w:rPr>
      </w:pPr>
    </w:p>
    <w:p>
      <w:pPr>
        <w:jc w:val="both"/>
        <w:ind w:firstLine="1735"/>
        <w:spacing w:after="0" w:line="271" w:lineRule="auto"/>
        <w:tabs>
          <w:tab w:leader="none" w:pos="2627"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Release by REGENXBIO:</w:t>
      </w:r>
      <w:r>
        <w:rPr>
          <w:rFonts w:ascii="Arial" w:cs="Arial" w:eastAsia="Arial" w:hAnsi="Arial"/>
          <w:sz w:val="19"/>
          <w:szCs w:val="19"/>
          <w:color w:val="auto"/>
        </w:rPr>
        <w:t xml:space="preserve"> Upon both REGENXBIO’s receipt and final clearance of the First Installment of the Settlement Payment and REGENXBIO’s receipt of the letter of credit securing the Second Installment of the Settlement Payment set forth in Section 1 above, REGENXBIO, on behalf of itself and all of its affiliates, officers, directors, employees, shareholders, legal representatives, successors and assigns (collectively, the “</w:t>
      </w:r>
      <w:r>
        <w:rPr>
          <w:rFonts w:ascii="Arial" w:cs="Arial" w:eastAsia="Arial" w:hAnsi="Arial"/>
          <w:sz w:val="19"/>
          <w:szCs w:val="19"/>
          <w:b w:val="1"/>
          <w:bCs w:val="1"/>
          <w:color w:val="auto"/>
        </w:rPr>
        <w:t>REGENXBIO Releasing Parties</w:t>
      </w:r>
      <w:r>
        <w:rPr>
          <w:rFonts w:ascii="Arial" w:cs="Arial" w:eastAsia="Arial" w:hAnsi="Arial"/>
          <w:sz w:val="19"/>
          <w:szCs w:val="19"/>
          <w:color w:val="auto"/>
        </w:rPr>
        <w:t>”), forever releases and discharges Abeona, its officers, directors, shareholders, affiliates, employees, contractors, agents, successors, and assigns and other legal representatives (collectively, the “</w:t>
      </w:r>
      <w:r>
        <w:rPr>
          <w:rFonts w:ascii="Arial" w:cs="Arial" w:eastAsia="Arial" w:hAnsi="Arial"/>
          <w:sz w:val="19"/>
          <w:szCs w:val="19"/>
          <w:b w:val="1"/>
          <w:bCs w:val="1"/>
          <w:color w:val="auto"/>
        </w:rPr>
        <w:t>Abeona Released Parties</w:t>
      </w:r>
      <w:r>
        <w:rPr>
          <w:rFonts w:ascii="Arial" w:cs="Arial" w:eastAsia="Arial" w:hAnsi="Arial"/>
          <w:sz w:val="19"/>
          <w:szCs w:val="19"/>
          <w:color w:val="auto"/>
        </w:rPr>
        <w:t>”), from any and all claims, demands, actions, judgments and executions arising out of or relating to the License Agreement, that it ever had, now has, or may have in the future, known or unknown, or that anyone claiming through them may have or claim to have against the Abeona Released Parties, including but not limited to, all of the claims asserted by REGENXBIO in the Arbitrations and in the Enforcement Petition; provided, however, that the foregoing release does not extend to any past, present, or future claims, demands, actions, judgments and executions arising out of or relating to improper use, misuse, misappropriation, or infringement of any formerly Licensed Technology as defined in Section 1.20 of the License Agreement or any other intellectual property rights of REGENXBIO, nor does it extend to any claim, demand, action, judgment, or execution that REGENXBIO may have, initiate, or obtain against Abeona for a breach of any obligation under this Settlement Agreement. For the avoidance of doubt, the foregoing release does not grant Abeona a license of any kind to the Licensed Technology or any other intellectual property rights of REGENXBIO, nor does it reinstate the License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735"/>
        <w:spacing w:after="0" w:line="272" w:lineRule="auto"/>
        <w:tabs>
          <w:tab w:leader="none" w:pos="261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Additional Agreements</w:t>
      </w:r>
      <w:r>
        <w:rPr>
          <w:rFonts w:ascii="Arial" w:cs="Arial" w:eastAsia="Arial" w:hAnsi="Arial"/>
          <w:sz w:val="19"/>
          <w:szCs w:val="19"/>
          <w:color w:val="auto"/>
        </w:rPr>
        <w:t>: The Parties agree and confirm that the Settlement Payment is intended to be a contemporaneous exchange for new value given to Abeona in the form of the consideration provided under this Settlement Agreement, including, among other things, the Release by REGENXBIO against Abeona set forth in Section 5(b), which is an essential part of this Settlement Agreement. Abeona covenants and agrees that neither it nor any of its affiliates shall file a voluntary petition for relief under the United States Bankruptcy Code (the “</w:t>
      </w:r>
      <w:r>
        <w:rPr>
          <w:rFonts w:ascii="Arial" w:cs="Arial" w:eastAsia="Arial" w:hAnsi="Arial"/>
          <w:sz w:val="19"/>
          <w:szCs w:val="19"/>
          <w:b w:val="1"/>
          <w:bCs w:val="1"/>
          <w:color w:val="auto"/>
        </w:rPr>
        <w:t>Bankruptcy Code</w:t>
      </w:r>
      <w:r>
        <w:rPr>
          <w:rFonts w:ascii="Arial" w:cs="Arial" w:eastAsia="Arial" w:hAnsi="Arial"/>
          <w:sz w:val="19"/>
          <w:szCs w:val="19"/>
          <w:color w:val="auto"/>
        </w:rPr>
        <w:t xml:space="preserve">”) or make an assignment for the benefit of creditors within [****] of REGENXBIO’s receipt and final clearance of the First Installment of the Settlement Payment, the Second Installment of the Settlement Payment, or the Third Installment of the Settlement Payment. Abeona further covenants and agrees that it will (and it will cause its affiliates to) timely oppose the entry of an order for relief with respect to any involuntary petition under the Bankruptcy Code that may be filed with respect to Abeona or any of its affiliates. In the event that any portion of the Settlement Payment is avoided for any reason or REGENXBIO is required to turnover any portion of the Settlement Payment for any reason, the release in Section 5(b) of this Settlement Agreement shall be </w:t>
      </w:r>
      <w:r>
        <w:rPr>
          <w:rFonts w:ascii="Arial" w:cs="Arial" w:eastAsia="Arial" w:hAnsi="Arial"/>
          <w:sz w:val="19"/>
          <w:szCs w:val="19"/>
          <w:i w:val="1"/>
          <w:iCs w:val="1"/>
          <w:color w:val="auto"/>
        </w:rPr>
        <w:t>void ab initio</w:t>
      </w:r>
      <w:r>
        <w:rPr>
          <w:rFonts w:ascii="Arial" w:cs="Arial" w:eastAsia="Arial" w:hAnsi="Arial"/>
          <w:sz w:val="19"/>
          <w:szCs w:val="19"/>
          <w:color w:val="auto"/>
        </w:rPr>
        <w:t>, and REGENXBIO shall be entitled to assert its claims against Abeona or its estate, solely to the extent that such claim exceeds the portion of the Settlement Payment that was not avoided or turned over.</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SETTLEMENT AGREEMENT AND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8" w:name="page139"/>
    <w:bookmarkEnd w:id="138"/>
    <w:p>
      <w:pPr>
        <w:jc w:val="both"/>
        <w:ind w:firstLine="872"/>
        <w:spacing w:after="0" w:line="234" w:lineRule="auto"/>
        <w:tabs>
          <w:tab w:leader="none" w:pos="1674"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In the event of any controversy or claim arising out of or relating to this Settlement Agreement, the Parties shall first attempt to resolve such controversy or claim through good faith negotiations for a period of not less than [****] 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(“AAA”) in accordance with the Commercial Arbitration Rules of the AAA in effect on the date of commencement of the arbitration, subject to the provisions of this Section 6. The arbitration shall be conducted as follows:</w:t>
      </w:r>
    </w:p>
    <w:p>
      <w:pPr>
        <w:spacing w:after="0" w:line="190" w:lineRule="exact"/>
        <w:rPr>
          <w:rFonts w:ascii="Arial" w:cs="Arial" w:eastAsia="Arial" w:hAnsi="Arial"/>
          <w:sz w:val="22"/>
          <w:szCs w:val="22"/>
          <w:color w:val="auto"/>
        </w:rPr>
      </w:pPr>
    </w:p>
    <w:p>
      <w:pPr>
        <w:ind w:left="2620" w:hanging="885"/>
        <w:spacing w:after="0"/>
        <w:tabs>
          <w:tab w:leader="none" w:pos="2620"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arbitration shall be conducted by three arbitrators and shall be conducted in English and held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New York, New York.</w:t>
      </w:r>
    </w:p>
    <w:p>
      <w:pPr>
        <w:spacing w:after="0" w:line="188" w:lineRule="exact"/>
        <w:rPr>
          <w:rFonts w:ascii="Arial" w:cs="Arial" w:eastAsia="Arial" w:hAnsi="Arial"/>
          <w:sz w:val="19"/>
          <w:szCs w:val="19"/>
          <w:color w:val="auto"/>
        </w:rPr>
      </w:pPr>
    </w:p>
    <w:p>
      <w:pPr>
        <w:jc w:val="both"/>
        <w:ind w:firstLine="1735"/>
        <w:spacing w:after="0" w:line="248" w:lineRule="auto"/>
        <w:tabs>
          <w:tab w:leader="none" w:pos="2627" w:val="left"/>
        </w:tabs>
        <w:numPr>
          <w:ilvl w:val="1"/>
          <w:numId w:val="81"/>
        </w:numPr>
        <w:rPr>
          <w:rFonts w:ascii="Arial" w:cs="Arial" w:eastAsia="Arial" w:hAnsi="Arial"/>
          <w:sz w:val="21"/>
          <w:szCs w:val="21"/>
          <w:color w:val="auto"/>
        </w:rPr>
      </w:pPr>
      <w:r>
        <w:rPr>
          <w:rFonts w:ascii="Arial" w:cs="Arial" w:eastAsia="Arial" w:hAnsi="Arial"/>
          <w:sz w:val="21"/>
          <w:szCs w:val="21"/>
          <w:color w:val="auto"/>
        </w:rPr>
        <w:t>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76" w:lineRule="exact"/>
        <w:rPr>
          <w:rFonts w:ascii="Arial" w:cs="Arial" w:eastAsia="Arial" w:hAnsi="Arial"/>
          <w:sz w:val="21"/>
          <w:szCs w:val="21"/>
          <w:color w:val="auto"/>
        </w:rPr>
      </w:pPr>
    </w:p>
    <w:p>
      <w:pPr>
        <w:jc w:val="both"/>
        <w:ind w:firstLine="1735"/>
        <w:spacing w:after="0"/>
        <w:tabs>
          <w:tab w:leader="none" w:pos="2615" w:val="left"/>
        </w:tabs>
        <w:numPr>
          <w:ilvl w:val="1"/>
          <w:numId w:val="81"/>
        </w:numPr>
        <w:rPr>
          <w:rFonts w:ascii="Arial" w:cs="Arial" w:eastAsia="Arial" w:hAnsi="Arial"/>
          <w:sz w:val="22"/>
          <w:szCs w:val="22"/>
          <w:color w:val="auto"/>
        </w:rPr>
      </w:pPr>
      <w:r>
        <w:rPr>
          <w:rFonts w:ascii="Arial" w:cs="Arial" w:eastAsia="Arial" w:hAnsi="Arial"/>
          <w:sz w:val="22"/>
          <w:szCs w:val="22"/>
          <w:color w:val="auto"/>
        </w:rPr>
        <w:t>If a Party fails to make the appointment of an arbitrator as provided in Section 6(b), the AAA shall make the appointment. If the appointed arbitrators fail to appoint a chairperson within the time specified in Section 6(b) and there is no agreed extension of time, the AAA shall appoint the chairperson.</w:t>
      </w:r>
    </w:p>
    <w:p>
      <w:pPr>
        <w:spacing w:after="0" w:line="186" w:lineRule="exact"/>
        <w:rPr>
          <w:rFonts w:ascii="Arial" w:cs="Arial" w:eastAsia="Arial" w:hAnsi="Arial"/>
          <w:sz w:val="22"/>
          <w:szCs w:val="22"/>
          <w:color w:val="auto"/>
        </w:rPr>
      </w:pPr>
    </w:p>
    <w:p>
      <w:pPr>
        <w:jc w:val="both"/>
        <w:ind w:firstLine="1735"/>
        <w:spacing w:after="0" w:line="275" w:lineRule="auto"/>
        <w:tabs>
          <w:tab w:leader="none" w:pos="2627"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arbitrators will render their award in writing and, unless all Parties agree otherwise, will include an explanation in reasonable detail of the reasons for their award. Judgment upon the award rendered by the arbitrators may be entered in any court having jurisdiction thereof. The arbitrators will have the authority to grant injunctive relief and other specific performance; provided that the arbitrators will have no authority to award damages in contravention of this Settlement Agreement, and each Party irrevocably waives any claim to such damages in contravention of this Settlement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57" w:lineRule="exact"/>
        <w:rPr>
          <w:rFonts w:ascii="Arial" w:cs="Arial" w:eastAsia="Arial" w:hAnsi="Arial"/>
          <w:sz w:val="19"/>
          <w:szCs w:val="19"/>
          <w:color w:val="auto"/>
        </w:rPr>
      </w:pPr>
    </w:p>
    <w:p>
      <w:pPr>
        <w:ind w:firstLine="1735"/>
        <w:spacing w:after="0" w:line="250" w:lineRule="auto"/>
        <w:tabs>
          <w:tab w:leader="none" w:pos="2615"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Parties shall use their reasonable efforts to conduct all dispute resolution procedures under this Settlement Agreement as expeditiously, efficiently, and cost-effectively as possible.</w:t>
      </w:r>
    </w:p>
    <w:p>
      <w:pPr>
        <w:spacing w:after="0" w:line="174" w:lineRule="exact"/>
        <w:rPr>
          <w:rFonts w:ascii="Arial" w:cs="Arial" w:eastAsia="Arial" w:hAnsi="Arial"/>
          <w:sz w:val="22"/>
          <w:szCs w:val="22"/>
          <w:color w:val="auto"/>
        </w:rPr>
      </w:pPr>
    </w:p>
    <w:p>
      <w:pPr>
        <w:jc w:val="both"/>
        <w:ind w:firstLine="1735"/>
        <w:spacing w:after="0"/>
        <w:tabs>
          <w:tab w:leader="none" w:pos="2591" w:val="left"/>
        </w:tabs>
        <w:numPr>
          <w:ilvl w:val="1"/>
          <w:numId w:val="81"/>
        </w:numPr>
        <w:rPr>
          <w:rFonts w:ascii="Arial" w:cs="Arial" w:eastAsia="Arial" w:hAnsi="Arial"/>
          <w:sz w:val="22"/>
          <w:szCs w:val="22"/>
          <w:color w:val="auto"/>
        </w:rPr>
      </w:pPr>
      <w:r>
        <w:rPr>
          <w:rFonts w:ascii="Arial" w:cs="Arial" w:eastAsia="Arial" w:hAnsi="Arial"/>
          <w:sz w:val="22"/>
          <w:szCs w:val="22"/>
          <w:color w:val="auto"/>
        </w:rPr>
        <w:t>All expenses and fees of the arbitrators and expenses for hearing facilities and other expenses of the arbitration will be borne equally by the Parties unless the Parties agree otherwise or unless the arbitrators in the award assess such expenses against one of the Parties or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SETTLEMENT AGREEMENT AND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9" w:name="page140"/>
    <w:bookmarkEnd w:id="139"/>
    <w:p>
      <w:pPr>
        <w:spacing w:after="0" w:line="274" w:lineRule="auto"/>
        <w:rPr>
          <w:sz w:val="20"/>
          <w:szCs w:val="20"/>
          <w:color w:val="auto"/>
        </w:rPr>
      </w:pPr>
      <w:r>
        <w:rPr>
          <w:rFonts w:ascii="Arial" w:cs="Arial" w:eastAsia="Arial" w:hAnsi="Arial"/>
          <w:sz w:val="21"/>
          <w:szCs w:val="21"/>
          <w:color w:val="auto"/>
        </w:rPr>
        <w:t>allocate such expenses other than equally between the Parties. Each of the Parties will bear its own counsel fees and the expenses of its witnesses except to the extent otherwise provided in this Settlement Agreement or by applicable law.</w:t>
      </w:r>
    </w:p>
    <w:p>
      <w:pPr>
        <w:spacing w:after="0" w:line="151" w:lineRule="exact"/>
        <w:rPr>
          <w:sz w:val="20"/>
          <w:szCs w:val="20"/>
          <w:color w:val="auto"/>
        </w:rPr>
      </w:pPr>
    </w:p>
    <w:p>
      <w:pPr>
        <w:jc w:val="both"/>
        <w:ind w:firstLine="1735"/>
        <w:spacing w:after="0" w:line="282" w:lineRule="auto"/>
        <w:tabs>
          <w:tab w:leader="none" w:pos="2627" w:val="left"/>
        </w:tabs>
        <w:numPr>
          <w:ilvl w:val="1"/>
          <w:numId w:val="82"/>
        </w:numPr>
        <w:rPr>
          <w:rFonts w:ascii="Arial" w:cs="Arial" w:eastAsia="Arial" w:hAnsi="Arial"/>
          <w:sz w:val="19"/>
          <w:szCs w:val="19"/>
          <w:color w:val="auto"/>
        </w:rPr>
      </w:pPr>
      <w:r>
        <w:rPr>
          <w:rFonts w:ascii="Arial" w:cs="Arial" w:eastAsia="Arial" w:hAnsi="Arial"/>
          <w:sz w:val="19"/>
          <w:szCs w:val="19"/>
          <w:color w:val="auto"/>
        </w:rPr>
        <w:t>Compliance with this Section 6 is a condition precedent to seeking relief in any court or tribunal in respect of a dispute, but nothing in this Section 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Settlement Agreement.</w:t>
      </w:r>
    </w:p>
    <w:p>
      <w:pPr>
        <w:spacing w:after="0" w:line="147" w:lineRule="exact"/>
        <w:rPr>
          <w:rFonts w:ascii="Arial" w:cs="Arial" w:eastAsia="Arial" w:hAnsi="Arial"/>
          <w:sz w:val="19"/>
          <w:szCs w:val="19"/>
          <w:color w:val="auto"/>
        </w:rPr>
      </w:pPr>
    </w:p>
    <w:p>
      <w:pPr>
        <w:jc w:val="both"/>
        <w:ind w:firstLine="872"/>
        <w:spacing w:after="0"/>
        <w:tabs>
          <w:tab w:leader="none" w:pos="167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Settlement Agreement shall be construed and governed in accordance with the law of the State of New York, without giving effect to conflict of law provisions that may require the application of the laws of another jurisdiction.</w:t>
      </w:r>
    </w:p>
    <w:p>
      <w:pPr>
        <w:spacing w:after="0" w:line="186" w:lineRule="exact"/>
        <w:rPr>
          <w:rFonts w:ascii="Arial" w:cs="Arial" w:eastAsia="Arial" w:hAnsi="Arial"/>
          <w:sz w:val="22"/>
          <w:szCs w:val="22"/>
          <w:color w:val="auto"/>
        </w:rPr>
      </w:pPr>
    </w:p>
    <w:p>
      <w:pPr>
        <w:ind w:left="1680" w:hanging="808"/>
        <w:spacing w:after="0"/>
        <w:tabs>
          <w:tab w:leader="none" w:pos="168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Integration, Modification, and Waiver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35"/>
        <w:spacing w:after="0" w:line="235" w:lineRule="auto"/>
        <w:tabs>
          <w:tab w:leader="none" w:pos="2615"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This Settlement Agreement constitutes the entire agreement between REGENXBIO and Abeona concerning the full and final resolution of any current, potential, or future claims between or against REGENXBIO and Abeona arising from the License Agreement, the Arbitrations, and the Enforcement Proceeding. It sets forth all the covenants, promises, agreements, warranties, representations, conditions and understandings between REGENXBIO and Abeona, and supersedes and terminates any and all prior agreements and understandings between REGENXBIO and Abeona related to the same subject matter.</w:t>
      </w:r>
    </w:p>
    <w:p>
      <w:pPr>
        <w:spacing w:after="0" w:line="187" w:lineRule="exact"/>
        <w:rPr>
          <w:rFonts w:ascii="Arial" w:cs="Arial" w:eastAsia="Arial" w:hAnsi="Arial"/>
          <w:sz w:val="22"/>
          <w:szCs w:val="22"/>
          <w:color w:val="auto"/>
        </w:rPr>
      </w:pPr>
    </w:p>
    <w:p>
      <w:pPr>
        <w:jc w:val="both"/>
        <w:ind w:firstLine="1735"/>
        <w:spacing w:after="0"/>
        <w:tabs>
          <w:tab w:leader="none" w:pos="2627" w:val="left"/>
        </w:tabs>
        <w:numPr>
          <w:ilvl w:val="1"/>
          <w:numId w:val="83"/>
        </w:numPr>
        <w:rPr>
          <w:rFonts w:ascii="Arial" w:cs="Arial" w:eastAsia="Arial" w:hAnsi="Arial"/>
          <w:sz w:val="22"/>
          <w:szCs w:val="22"/>
          <w:color w:val="auto"/>
        </w:rPr>
      </w:pPr>
      <w:r>
        <w:rPr>
          <w:rFonts w:ascii="Arial" w:cs="Arial" w:eastAsia="Arial" w:hAnsi="Arial"/>
          <w:sz w:val="22"/>
          <w:szCs w:val="22"/>
          <w:color w:val="auto"/>
        </w:rPr>
        <w:t>No alteration, amendment, change, or addition to this Settlement Agreement shall be binding on REGENXBIO or Abeona unless reduced to writing and signed by the respective authorized officers of REGENXBIO and Abeona.</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15" w:val="left"/>
        </w:tabs>
        <w:numPr>
          <w:ilvl w:val="1"/>
          <w:numId w:val="83"/>
        </w:numPr>
        <w:rPr>
          <w:rFonts w:ascii="Arial" w:cs="Arial" w:eastAsia="Arial" w:hAnsi="Arial"/>
          <w:sz w:val="22"/>
          <w:szCs w:val="22"/>
          <w:color w:val="auto"/>
        </w:rPr>
      </w:pPr>
      <w:r>
        <w:rPr>
          <w:rFonts w:ascii="Arial" w:cs="Arial" w:eastAsia="Arial" w:hAnsi="Arial"/>
          <w:sz w:val="22"/>
          <w:szCs w:val="22"/>
          <w:color w:val="auto"/>
        </w:rPr>
        <w:t>No waiver of any provision of this Settlement Agreement shall be deemed to be a waiver of any other provision, whether or not similar. No such waiver shall constitute a continuing waiver. No waiver shall be binding unless executed in writing by the party charged with the waiver. The headings in this Settlement Agreement are used solely for convenience and in no way define or limit the scope of this Settlement Agreement.</w:t>
      </w:r>
    </w:p>
    <w:p>
      <w:pPr>
        <w:spacing w:after="0" w:line="184" w:lineRule="exact"/>
        <w:rPr>
          <w:rFonts w:ascii="Arial" w:cs="Arial" w:eastAsia="Arial" w:hAnsi="Arial"/>
          <w:sz w:val="22"/>
          <w:szCs w:val="22"/>
          <w:color w:val="auto"/>
        </w:rPr>
      </w:pPr>
    </w:p>
    <w:p>
      <w:pPr>
        <w:jc w:val="both"/>
        <w:ind w:firstLine="872"/>
        <w:spacing w:after="0" w:line="245" w:lineRule="auto"/>
        <w:tabs>
          <w:tab w:leader="none" w:pos="1674"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REGENXBIO and Abeona agree to maintain as confidential, and not disclose to any third party, any of the terms of this Settlement Agreement, provided, however, that the foregoing shall not prohibit disclosure, statements or testimony (a) to entities or persons with a bona fide need to know the terms of this Settlement Agreement who are subject to an obligation of confidentiality, including but not limited to [****], (b) as may be necessary to comply with, effectuate or enforce the terms of this Settlement Agreement, (c) in connection with any type of regulatory investigation, examination, or audit, or (d) as required by law or regulatory requirements, or if otherwise compelled by legal process or court order. In the event that a Party is required by law or the rules of the U.S. Securities and Exchange Commission (“SEC”) to make any such disclosure under Section (9)(d), the Parties agree to (i) share a draft in advance of the issuance of such disclosure and take reasonable comments from the other Party, and (ii) in the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SETTLEMENT AGREEMENT AND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40" w:name="page141"/>
    <w:bookmarkEnd w:id="140"/>
    <w:p>
      <w:pPr>
        <w:ind w:right="20"/>
        <w:spacing w:after="0" w:line="250" w:lineRule="auto"/>
        <w:rPr>
          <w:sz w:val="20"/>
          <w:szCs w:val="20"/>
          <w:color w:val="auto"/>
        </w:rPr>
      </w:pPr>
      <w:r>
        <w:rPr>
          <w:rFonts w:ascii="Arial" w:cs="Arial" w:eastAsia="Arial" w:hAnsi="Arial"/>
          <w:sz w:val="22"/>
          <w:szCs w:val="22"/>
          <w:color w:val="auto"/>
        </w:rPr>
        <w:t>event that any such disclosure requires filing of this Settlement Agreement with the SEC, the Parties agree to share proposed redactions and take reasonable comments from the other Party.</w:t>
      </w:r>
    </w:p>
    <w:p>
      <w:pPr>
        <w:spacing w:after="0" w:line="175" w:lineRule="exact"/>
        <w:rPr>
          <w:sz w:val="20"/>
          <w:szCs w:val="20"/>
          <w:color w:val="auto"/>
        </w:rPr>
      </w:pPr>
    </w:p>
    <w:p>
      <w:pPr>
        <w:jc w:val="both"/>
        <w:ind w:firstLine="872"/>
        <w:spacing w:after="0" w:line="238" w:lineRule="auto"/>
        <w:tabs>
          <w:tab w:leader="none" w:pos="178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The Parties agree not to disparage the other Party, any of the REGENXBIO Released Parties, any of the Abeona Released Parties, or any of either Party’s products or product candidates, at any time following the execution of this Settlement Agreement. For clarity, this non-disparagement provision will not preclude the Parties from providing truthful testimony in any judicial or arbitral proceeding.</w:t>
      </w:r>
    </w:p>
    <w:p>
      <w:pPr>
        <w:spacing w:after="0" w:line="184" w:lineRule="exact"/>
        <w:rPr>
          <w:rFonts w:ascii="Arial" w:cs="Arial" w:eastAsia="Arial" w:hAnsi="Arial"/>
          <w:sz w:val="22"/>
          <w:szCs w:val="22"/>
          <w:color w:val="auto"/>
        </w:rPr>
      </w:pPr>
    </w:p>
    <w:p>
      <w:pPr>
        <w:jc w:val="both"/>
        <w:ind w:firstLine="872"/>
        <w:spacing w:after="0" w:line="238" w:lineRule="auto"/>
        <w:tabs>
          <w:tab w:leader="none" w:pos="177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Attorneys’ Fees and Costs</w:t>
      </w:r>
      <w:r>
        <w:rPr>
          <w:rFonts w:ascii="Arial" w:cs="Arial" w:eastAsia="Arial" w:hAnsi="Arial"/>
          <w:sz w:val="22"/>
          <w:szCs w:val="22"/>
          <w:color w:val="auto"/>
        </w:rPr>
        <w:t>: REGENXBIO and Abeona acknowledge that they each have incurred legal fees and expenses in connection with the Arbitrations, the Enforcement Petition, and the issues referenced in this Settlement Agreement. REGENXBIO and Abeona agree that they each will bear all of their own legal fees and expenses related to the Arbitrations, the Enforcement Petition, and this Settlement Agreement.</w:t>
      </w:r>
    </w:p>
    <w:p>
      <w:pPr>
        <w:spacing w:after="0" w:line="184" w:lineRule="exact"/>
        <w:rPr>
          <w:rFonts w:ascii="Arial" w:cs="Arial" w:eastAsia="Arial" w:hAnsi="Arial"/>
          <w:sz w:val="22"/>
          <w:szCs w:val="22"/>
          <w:color w:val="auto"/>
        </w:rPr>
      </w:pPr>
    </w:p>
    <w:p>
      <w:pPr>
        <w:jc w:val="both"/>
        <w:ind w:firstLine="872"/>
        <w:spacing w:after="0"/>
        <w:tabs>
          <w:tab w:leader="none" w:pos="178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Authority To Sign and Agree</w:t>
      </w:r>
      <w:r>
        <w:rPr>
          <w:rFonts w:ascii="Arial" w:cs="Arial" w:eastAsia="Arial" w:hAnsi="Arial"/>
          <w:sz w:val="22"/>
          <w:szCs w:val="22"/>
          <w:color w:val="auto"/>
        </w:rPr>
        <w:t>: REGENXBIO and Abeona confirm and agree that the individuals listed below and who sign this Settlement Agreement are duly authorized to sign on behalf of the Party listed and agree to the terms and obligations set forth in this Settlement Agreement.</w:t>
      </w:r>
    </w:p>
    <w:p>
      <w:pPr>
        <w:spacing w:after="0" w:line="186" w:lineRule="exact"/>
        <w:rPr>
          <w:rFonts w:ascii="Arial" w:cs="Arial" w:eastAsia="Arial" w:hAnsi="Arial"/>
          <w:sz w:val="22"/>
          <w:szCs w:val="22"/>
          <w:color w:val="auto"/>
        </w:rPr>
      </w:pPr>
    </w:p>
    <w:p>
      <w:pPr>
        <w:ind w:right="460" w:firstLine="872"/>
        <w:spacing w:after="0" w:line="250" w:lineRule="auto"/>
        <w:tabs>
          <w:tab w:leader="none" w:pos="178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Time Is of the Essence</w:t>
      </w:r>
      <w:r>
        <w:rPr>
          <w:rFonts w:ascii="Arial" w:cs="Arial" w:eastAsia="Arial" w:hAnsi="Arial"/>
          <w:sz w:val="22"/>
          <w:szCs w:val="22"/>
          <w:color w:val="auto"/>
        </w:rPr>
        <w:t xml:space="preserve">. Time is of the essence for performance of this Settlement Agreement, including without limitation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of this Settlement Agreement.</w:t>
      </w:r>
    </w:p>
    <w:p>
      <w:pPr>
        <w:spacing w:after="0" w:line="174" w:lineRule="exact"/>
        <w:rPr>
          <w:rFonts w:ascii="Arial" w:cs="Arial" w:eastAsia="Arial" w:hAnsi="Arial"/>
          <w:sz w:val="22"/>
          <w:szCs w:val="22"/>
          <w:color w:val="auto"/>
        </w:rPr>
      </w:pPr>
    </w:p>
    <w:p>
      <w:pPr>
        <w:jc w:val="both"/>
        <w:ind w:firstLine="872"/>
        <w:spacing w:after="0" w:line="234" w:lineRule="auto"/>
        <w:tabs>
          <w:tab w:leader="none" w:pos="178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Settlement Agreement may be executed in counterparts, each of which shall be an original, but such counterparts shall constitute one and the same instrument. This Settlement Agreement may be executed and delivered via e-mail with a .pdf file. The signature of either Party on such document, for purposes hereof, will be considered an original signature, and the transmitted document will have the same binding effect as an original signature on an original document. Delivery of an executed counterpart of a signature page to this Settlement Agreement by e-mail or other electronic transmission (including in .pdf format or via DocuSign) will be as effective as delivery of a manually executed original counterpart of each such instrument.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SETTLEMENT AGREEMENT AND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41" w:name="page142"/>
    <w:bookmarkEnd w:id="141"/>
    <w:p>
      <w:pPr>
        <w:jc w:val="both"/>
        <w:spacing w:after="0" w:line="239" w:lineRule="auto"/>
        <w:rPr>
          <w:sz w:val="20"/>
          <w:szCs w:val="20"/>
          <w:color w:val="auto"/>
        </w:rPr>
      </w:pPr>
      <w:r>
        <w:rPr>
          <w:rFonts w:ascii="Arial" w:cs="Arial" w:eastAsia="Arial" w:hAnsi="Arial"/>
          <w:sz w:val="22"/>
          <w:szCs w:val="22"/>
          <w:b w:val="1"/>
          <w:bCs w:val="1"/>
          <w:color w:val="auto"/>
        </w:rPr>
        <w:t>THE PARTIES ACKNOWLEDGE THAT THEY HAVE READ THE FOREGOING SETTLEMENT AGREEMENT AND ACCEPT AND AGREE TO ALL OF ITS PROVISIONS. THE PARTIES EXECUTE THIS SETTLEMENT AGREEMENT VOLUNTARILY, WITHOUT ANY DURESS, AND WITH FULL UNDERSTANDING OF ITS CONSEQUENCES.</w:t>
      </w:r>
    </w:p>
    <w:p>
      <w:pPr>
        <w:spacing w:after="0" w:line="186" w:lineRule="exact"/>
        <w:rPr>
          <w:sz w:val="20"/>
          <w:szCs w:val="20"/>
          <w:color w:val="auto"/>
        </w:rPr>
      </w:pPr>
    </w:p>
    <w:p>
      <w:pPr>
        <w:jc w:val="right"/>
        <w:ind w:right="4060"/>
        <w:spacing w:after="0"/>
        <w:rPr>
          <w:sz w:val="20"/>
          <w:szCs w:val="20"/>
          <w:color w:val="auto"/>
        </w:rPr>
      </w:pPr>
      <w:r>
        <w:rPr>
          <w:rFonts w:ascii="Arial" w:cs="Arial" w:eastAsia="Arial" w:hAnsi="Arial"/>
          <w:sz w:val="19"/>
          <w:szCs w:val="19"/>
          <w:color w:val="auto"/>
        </w:rPr>
        <w:t>The Parties have executed this Settlement Agreement on the dates indicated below.</w:t>
      </w:r>
    </w:p>
    <w:p>
      <w:pPr>
        <w:spacing w:after="0" w:line="254" w:lineRule="exact"/>
        <w:rPr>
          <w:sz w:val="20"/>
          <w:szCs w:val="20"/>
          <w:color w:val="auto"/>
        </w:rPr>
      </w:pPr>
    </w:p>
    <w:p>
      <w:pPr>
        <w:jc w:val="right"/>
        <w:ind w:right="4080"/>
        <w:spacing w:after="0"/>
        <w:rPr>
          <w:sz w:val="20"/>
          <w:szCs w:val="20"/>
          <w:color w:val="auto"/>
        </w:rPr>
      </w:pPr>
      <w:r>
        <w:rPr>
          <w:rFonts w:ascii="Arial" w:cs="Arial" w:eastAsia="Arial" w:hAnsi="Arial"/>
          <w:sz w:val="22"/>
          <w:szCs w:val="22"/>
          <w:color w:val="auto"/>
        </w:rPr>
        <w:t>REGENXBIO Inc.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80" w:type="dxa"/>
            <w:vAlign w:val="bottom"/>
            <w:gridSpan w:val="3"/>
          </w:tcPr>
          <w:p>
            <w:pPr>
              <w:spacing w:after="0"/>
              <w:rPr>
                <w:sz w:val="20"/>
                <w:szCs w:val="20"/>
                <w:color w:val="auto"/>
              </w:rPr>
            </w:pPr>
            <w:r>
              <w:rPr>
                <w:rFonts w:ascii="Arial" w:cs="Arial" w:eastAsia="Arial" w:hAnsi="Arial"/>
                <w:sz w:val="22"/>
                <w:szCs w:val="22"/>
                <w:color w:val="auto"/>
              </w:rPr>
              <w:t>Dated: 11/12/2021</w:t>
            </w:r>
          </w:p>
        </w:tc>
        <w:tc>
          <w:tcPr>
            <w:tcW w:w="4320" w:type="dxa"/>
            <w:vAlign w:val="bottom"/>
          </w:tcPr>
          <w:p>
            <w:pPr>
              <w:ind w:left="3540"/>
              <w:spacing w:after="0"/>
              <w:rPr>
                <w:sz w:val="20"/>
                <w:szCs w:val="20"/>
                <w:color w:val="auto"/>
              </w:rPr>
            </w:pPr>
            <w:r>
              <w:rPr>
                <w:rFonts w:ascii="Arial" w:cs="Arial" w:eastAsia="Arial" w:hAnsi="Arial"/>
                <w:sz w:val="22"/>
                <w:szCs w:val="22"/>
                <w:color w:val="auto"/>
              </w:rPr>
              <w:t>By:</w:t>
            </w:r>
          </w:p>
        </w:tc>
        <w:tc>
          <w:tcPr>
            <w:tcW w:w="4940" w:type="dxa"/>
            <w:vAlign w:val="bottom"/>
          </w:tcPr>
          <w:p>
            <w:pPr>
              <w:spacing w:after="0"/>
              <w:rPr>
                <w:sz w:val="20"/>
                <w:szCs w:val="20"/>
                <w:color w:val="auto"/>
              </w:rPr>
            </w:pPr>
            <w:r>
              <w:rPr>
                <w:rFonts w:ascii="Arial" w:cs="Arial" w:eastAsia="Arial" w:hAnsi="Arial"/>
                <w:sz w:val="22"/>
                <w:szCs w:val="22"/>
                <w:color w:val="auto"/>
              </w:rPr>
              <w:t>/s/ Kenneth Mills</w:t>
            </w:r>
          </w:p>
        </w:tc>
      </w:tr>
      <w:tr>
        <w:trPr>
          <w:trHeight w:val="20"/>
        </w:trPr>
        <w:tc>
          <w:tcPr>
            <w:tcW w:w="6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r>
        <w:trPr>
          <w:trHeight w:val="490"/>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Pr>
          <w:p>
            <w:pPr>
              <w:ind w:left="3540"/>
              <w:spacing w:after="0"/>
              <w:rPr>
                <w:sz w:val="20"/>
                <w:szCs w:val="20"/>
                <w:color w:val="auto"/>
              </w:rPr>
            </w:pPr>
            <w:r>
              <w:rPr>
                <w:rFonts w:ascii="Arial" w:cs="Arial" w:eastAsia="Arial" w:hAnsi="Arial"/>
                <w:sz w:val="22"/>
                <w:szCs w:val="22"/>
                <w:color w:val="auto"/>
              </w:rPr>
              <w:t>Name:</w:t>
            </w:r>
          </w:p>
        </w:tc>
        <w:tc>
          <w:tcPr>
            <w:tcW w:w="4940" w:type="dxa"/>
            <w:vAlign w:val="bottom"/>
          </w:tcPr>
          <w:p>
            <w:pPr>
              <w:spacing w:after="0"/>
              <w:rPr>
                <w:sz w:val="20"/>
                <w:szCs w:val="20"/>
                <w:color w:val="auto"/>
              </w:rPr>
            </w:pPr>
            <w:r>
              <w:rPr>
                <w:rFonts w:ascii="Arial" w:cs="Arial" w:eastAsia="Arial" w:hAnsi="Arial"/>
                <w:sz w:val="22"/>
                <w:szCs w:val="22"/>
                <w:color w:val="auto"/>
              </w:rPr>
              <w:t>Kenneth Mills</w:t>
            </w:r>
          </w:p>
        </w:tc>
      </w:tr>
      <w:tr>
        <w:trPr>
          <w:trHeight w:val="486"/>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Pr>
          <w:p>
            <w:pPr>
              <w:ind w:left="3540"/>
              <w:spacing w:after="0"/>
              <w:rPr>
                <w:sz w:val="20"/>
                <w:szCs w:val="20"/>
                <w:color w:val="auto"/>
              </w:rPr>
            </w:pPr>
            <w:r>
              <w:rPr>
                <w:rFonts w:ascii="Arial" w:cs="Arial" w:eastAsia="Arial" w:hAnsi="Arial"/>
                <w:sz w:val="22"/>
                <w:szCs w:val="22"/>
                <w:color w:val="auto"/>
              </w:rPr>
              <w:t>Title:</w:t>
            </w:r>
          </w:p>
        </w:tc>
        <w:tc>
          <w:tcPr>
            <w:tcW w:w="4940" w:type="dxa"/>
            <w:vAlign w:val="bottom"/>
          </w:tcPr>
          <w:p>
            <w:pPr>
              <w:spacing w:after="0"/>
              <w:rPr>
                <w:sz w:val="20"/>
                <w:szCs w:val="20"/>
                <w:color w:val="auto"/>
              </w:rPr>
            </w:pPr>
            <w:r>
              <w:rPr>
                <w:rFonts w:ascii="Arial" w:cs="Arial" w:eastAsia="Arial" w:hAnsi="Arial"/>
                <w:sz w:val="22"/>
                <w:szCs w:val="22"/>
                <w:color w:val="auto"/>
              </w:rPr>
              <w:t>President &amp; Chief Executive Officer</w:t>
            </w:r>
          </w:p>
        </w:tc>
      </w:tr>
      <w:tr>
        <w:trPr>
          <w:trHeight w:val="729"/>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60" w:type="dxa"/>
            <w:vAlign w:val="bottom"/>
            <w:gridSpan w:val="2"/>
          </w:tcPr>
          <w:p>
            <w:pPr>
              <w:ind w:left="3540"/>
              <w:spacing w:after="0"/>
              <w:rPr>
                <w:sz w:val="20"/>
                <w:szCs w:val="20"/>
                <w:color w:val="auto"/>
              </w:rPr>
            </w:pPr>
            <w:r>
              <w:rPr>
                <w:rFonts w:ascii="Arial" w:cs="Arial" w:eastAsia="Arial" w:hAnsi="Arial"/>
                <w:sz w:val="22"/>
                <w:szCs w:val="22"/>
                <w:color w:val="auto"/>
              </w:rPr>
              <w:t>Abeona Therapeutics Inc.</w:t>
            </w:r>
          </w:p>
        </w:tc>
      </w:tr>
      <w:tr>
        <w:trPr>
          <w:trHeight w:val="435"/>
        </w:trPr>
        <w:tc>
          <w:tcPr>
            <w:tcW w:w="1980" w:type="dxa"/>
            <w:vAlign w:val="bottom"/>
            <w:gridSpan w:val="3"/>
          </w:tcPr>
          <w:p>
            <w:pPr>
              <w:spacing w:after="0"/>
              <w:rPr>
                <w:sz w:val="20"/>
                <w:szCs w:val="20"/>
                <w:color w:val="auto"/>
              </w:rPr>
            </w:pPr>
            <w:r>
              <w:rPr>
                <w:rFonts w:ascii="Arial" w:cs="Arial" w:eastAsia="Arial" w:hAnsi="Arial"/>
                <w:sz w:val="22"/>
                <w:szCs w:val="22"/>
                <w:color w:val="auto"/>
                <w:w w:val="89"/>
              </w:rPr>
              <w:t>Dated: Nov 12th, 2021</w:t>
            </w:r>
          </w:p>
        </w:tc>
        <w:tc>
          <w:tcPr>
            <w:tcW w:w="4320" w:type="dxa"/>
            <w:vAlign w:val="bottom"/>
          </w:tcPr>
          <w:p>
            <w:pPr>
              <w:ind w:left="3540"/>
              <w:spacing w:after="0"/>
              <w:rPr>
                <w:sz w:val="20"/>
                <w:szCs w:val="20"/>
                <w:color w:val="auto"/>
              </w:rPr>
            </w:pPr>
            <w:r>
              <w:rPr>
                <w:rFonts w:ascii="Arial" w:cs="Arial" w:eastAsia="Arial" w:hAnsi="Arial"/>
                <w:sz w:val="22"/>
                <w:szCs w:val="22"/>
                <w:color w:val="auto"/>
              </w:rPr>
              <w:t>By:</w:t>
            </w:r>
          </w:p>
        </w:tc>
        <w:tc>
          <w:tcPr>
            <w:tcW w:w="4940" w:type="dxa"/>
            <w:vAlign w:val="bottom"/>
          </w:tcPr>
          <w:p>
            <w:pPr>
              <w:spacing w:after="0"/>
              <w:rPr>
                <w:sz w:val="20"/>
                <w:szCs w:val="20"/>
                <w:color w:val="auto"/>
              </w:rPr>
            </w:pPr>
            <w:r>
              <w:rPr>
                <w:rFonts w:ascii="Arial" w:cs="Arial" w:eastAsia="Arial" w:hAnsi="Arial"/>
                <w:sz w:val="22"/>
                <w:szCs w:val="22"/>
                <w:color w:val="auto"/>
              </w:rPr>
              <w:t>/s/ Vishwas Seshadri</w:t>
            </w:r>
          </w:p>
        </w:tc>
      </w:tr>
      <w:tr>
        <w:trPr>
          <w:trHeight w:val="21"/>
        </w:trPr>
        <w:tc>
          <w:tcPr>
            <w:tcW w:w="6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r>
        <w:trPr>
          <w:trHeight w:val="489"/>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Pr>
          <w:p>
            <w:pPr>
              <w:ind w:left="3540"/>
              <w:spacing w:after="0"/>
              <w:rPr>
                <w:sz w:val="20"/>
                <w:szCs w:val="20"/>
                <w:color w:val="auto"/>
              </w:rPr>
            </w:pPr>
            <w:r>
              <w:rPr>
                <w:rFonts w:ascii="Arial" w:cs="Arial" w:eastAsia="Arial" w:hAnsi="Arial"/>
                <w:sz w:val="22"/>
                <w:szCs w:val="22"/>
                <w:color w:val="auto"/>
              </w:rPr>
              <w:t>Name:</w:t>
            </w:r>
          </w:p>
        </w:tc>
        <w:tc>
          <w:tcPr>
            <w:tcW w:w="4940" w:type="dxa"/>
            <w:vAlign w:val="bottom"/>
          </w:tcPr>
          <w:p>
            <w:pPr>
              <w:spacing w:after="0"/>
              <w:rPr>
                <w:sz w:val="20"/>
                <w:szCs w:val="20"/>
                <w:color w:val="auto"/>
              </w:rPr>
            </w:pPr>
            <w:r>
              <w:rPr>
                <w:rFonts w:ascii="Arial" w:cs="Arial" w:eastAsia="Arial" w:hAnsi="Arial"/>
                <w:sz w:val="22"/>
                <w:szCs w:val="22"/>
                <w:color w:val="auto"/>
              </w:rPr>
              <w:t>Vishwas Seshadri</w:t>
            </w:r>
          </w:p>
        </w:tc>
      </w:tr>
      <w:tr>
        <w:trPr>
          <w:trHeight w:val="486"/>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Pr>
          <w:p>
            <w:pPr>
              <w:ind w:left="3540"/>
              <w:spacing w:after="0"/>
              <w:rPr>
                <w:sz w:val="20"/>
                <w:szCs w:val="20"/>
                <w:color w:val="auto"/>
              </w:rPr>
            </w:pPr>
            <w:r>
              <w:rPr>
                <w:rFonts w:ascii="Arial" w:cs="Arial" w:eastAsia="Arial" w:hAnsi="Arial"/>
                <w:sz w:val="22"/>
                <w:szCs w:val="22"/>
                <w:color w:val="auto"/>
              </w:rPr>
              <w:t>Title:</w:t>
            </w:r>
          </w:p>
        </w:tc>
        <w:tc>
          <w:tcPr>
            <w:tcW w:w="4940" w:type="dxa"/>
            <w:vAlign w:val="bottom"/>
          </w:tcPr>
          <w:p>
            <w:pPr>
              <w:spacing w:after="0"/>
              <w:rPr>
                <w:sz w:val="20"/>
                <w:szCs w:val="20"/>
                <w:color w:val="auto"/>
              </w:rPr>
            </w:pPr>
            <w:r>
              <w:rPr>
                <w:rFonts w:ascii="Arial" w:cs="Arial" w:eastAsia="Arial" w:hAnsi="Arial"/>
                <w:sz w:val="22"/>
                <w:szCs w:val="22"/>
                <w:color w:val="auto"/>
              </w:rPr>
              <w:t>President &amp; Chief Executive Officer</w:t>
            </w:r>
          </w:p>
        </w:tc>
      </w:tr>
      <w:tr>
        <w:trPr>
          <w:trHeight w:val="895"/>
        </w:trPr>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ind w:left="3400"/>
              <w:spacing w:after="0"/>
              <w:rPr>
                <w:sz w:val="20"/>
                <w:szCs w:val="20"/>
                <w:color w:val="auto"/>
              </w:rPr>
            </w:pPr>
            <w:r>
              <w:rPr>
                <w:rFonts w:ascii="Arial" w:cs="Arial" w:eastAsia="Arial" w:hAnsi="Arial"/>
                <w:sz w:val="22"/>
                <w:szCs w:val="22"/>
                <w:color w:val="auto"/>
              </w:rPr>
              <w:t>8 of 8</w:t>
            </w:r>
          </w:p>
        </w:tc>
        <w:tc>
          <w:tcPr>
            <w:tcW w:w="4940" w:type="dxa"/>
            <w:vAlign w:val="bottom"/>
            <w:tcBorders>
              <w:bottom w:val="single" w:sz="8" w:color="auto"/>
            </w:tcBorders>
          </w:tcPr>
          <w:p>
            <w:pPr>
              <w:spacing w:after="0"/>
              <w:rPr>
                <w:sz w:val="24"/>
                <w:szCs w:val="24"/>
                <w:color w:val="auto"/>
              </w:rPr>
            </w:pPr>
          </w:p>
        </w:tc>
      </w:tr>
      <w:tr>
        <w:trPr>
          <w:trHeight w:val="228"/>
        </w:trPr>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60" w:type="dxa"/>
            <w:vAlign w:val="bottom"/>
            <w:gridSpan w:val="2"/>
          </w:tcPr>
          <w:p>
            <w:pPr>
              <w:ind w:left="1180"/>
              <w:spacing w:after="0"/>
              <w:rPr>
                <w:sz w:val="20"/>
                <w:szCs w:val="20"/>
                <w:color w:val="auto"/>
              </w:rPr>
            </w:pPr>
            <w:r>
              <w:rPr>
                <w:rFonts w:ascii="Arial" w:cs="Arial" w:eastAsia="Arial" w:hAnsi="Arial"/>
                <w:sz w:val="18"/>
                <w:szCs w:val="18"/>
                <w:b w:val="1"/>
                <w:bCs w:val="1"/>
                <w:color w:val="auto"/>
              </w:rPr>
              <w:t>SETTLEMENT AGREEMENT AND MUTUAL RELEASE</w:t>
            </w:r>
          </w:p>
        </w:tc>
      </w:tr>
    </w:tbl>
    <w:p>
      <w:pPr>
        <w:sectPr>
          <w:pgSz w:w="11900" w:h="16838" w:orient="portrait"/>
          <w:cols w:equalWidth="0" w:num="1">
            <w:col w:w="11240"/>
          </w:cols>
          <w:pgMar w:left="320" w:top="34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100" w:type="dxa"/>
            <w:vAlign w:val="bottom"/>
            <w:gridSpan w:val="3"/>
          </w:tcPr>
          <w:p>
            <w:pPr>
              <w:ind w:left="1180"/>
              <w:spacing w:after="0"/>
              <w:rPr>
                <w:sz w:val="20"/>
                <w:szCs w:val="20"/>
                <w:color w:val="auto"/>
              </w:rPr>
            </w:pPr>
            <w:r>
              <w:rPr>
                <w:rFonts w:ascii="Arial" w:cs="Arial" w:eastAsia="Arial" w:hAnsi="Arial"/>
                <w:sz w:val="18"/>
                <w:szCs w:val="18"/>
                <w:b w:val="1"/>
                <w:bCs w:val="1"/>
                <w:color w:val="auto"/>
              </w:rPr>
              <w:t>Subsidiaries of REGENXBIO Inc.</w:t>
            </w:r>
          </w:p>
        </w:tc>
      </w:tr>
      <w:tr>
        <w:trPr>
          <w:trHeight w:val="379"/>
        </w:trPr>
        <w:tc>
          <w:tcPr>
            <w:tcW w:w="3140" w:type="dxa"/>
            <w:vAlign w:val="bottom"/>
          </w:tcPr>
          <w:p>
            <w:pPr>
              <w:spacing w:after="0"/>
              <w:rPr>
                <w:sz w:val="20"/>
                <w:szCs w:val="20"/>
                <w:color w:val="auto"/>
              </w:rPr>
            </w:pPr>
            <w:r>
              <w:rPr>
                <w:rFonts w:ascii="Arial" w:cs="Arial" w:eastAsia="Arial" w:hAnsi="Arial"/>
                <w:sz w:val="14"/>
                <w:szCs w:val="14"/>
                <w:b w:val="1"/>
                <w:bCs w:val="1"/>
                <w:color w:val="auto"/>
              </w:rPr>
              <w:t>Name of Subsidiary</w:t>
            </w: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4"/>
              </w:rPr>
              <w:t>Jurisdiction of Incorporation or Organization</w:t>
            </w:r>
          </w:p>
        </w:tc>
      </w:tr>
      <w:tr>
        <w:trPr>
          <w:trHeight w:val="66"/>
        </w:trPr>
        <w:tc>
          <w:tcPr>
            <w:tcW w:w="314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500" w:type="dxa"/>
            <w:vAlign w:val="bottom"/>
            <w:tcBorders>
              <w:bottom w:val="single" w:sz="8" w:color="auto"/>
            </w:tcBorders>
          </w:tcPr>
          <w:p>
            <w:pPr>
              <w:spacing w:after="0"/>
              <w:rPr>
                <w:sz w:val="5"/>
                <w:szCs w:val="5"/>
                <w:color w:val="auto"/>
              </w:rPr>
            </w:pP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REGENXBIO EU Limited</w:t>
            </w:r>
          </w:p>
        </w:tc>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Ireland</w:t>
            </w:r>
          </w:p>
        </w:tc>
      </w:tr>
    </w:tbl>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We hereby consent to the incorporation by reference in the Registration Statements on Form S-8 (No. 333-229910, 333-223466, 333-216508, 333-209899, 333-206984, 333-236664, 333-253725) of REGENXBIO Inc. of our report dated March 1, 2022 relating to the financial statements and the effectiveness of internal control over financial reporting,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Washington, D.C.</w:t>
      </w:r>
    </w:p>
    <w:p>
      <w:pPr>
        <w:spacing w:after="0"/>
        <w:rPr>
          <w:sz w:val="20"/>
          <w:szCs w:val="20"/>
          <w:color w:val="auto"/>
        </w:rPr>
      </w:pPr>
      <w:r>
        <w:rPr>
          <w:rFonts w:ascii="Arial" w:cs="Arial" w:eastAsia="Arial" w:hAnsi="Arial"/>
          <w:sz w:val="20"/>
          <w:szCs w:val="20"/>
          <w:color w:val="auto"/>
        </w:rPr>
        <w:t>March 1, 2022</w:t>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T. Mills, certify that:</w:t>
      </w:r>
    </w:p>
    <w:p>
      <w:pPr>
        <w:spacing w:after="0" w:line="117"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REGENXBIO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00" w:right="60" w:hanging="493"/>
        <w:spacing w:after="0" w:line="263"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800" w:hanging="493"/>
        <w:spacing w:after="0" w:line="342" w:lineRule="auto"/>
        <w:tabs>
          <w:tab w:leader="none" w:pos="10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80" w:hanging="493"/>
        <w:spacing w:after="0" w:line="277" w:lineRule="auto"/>
        <w:tabs>
          <w:tab w:leader="none" w:pos="10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6"/>
          <w:szCs w:val="16"/>
          <w:color w:val="auto"/>
        </w:rPr>
        <w:t>/s/ 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Kenneth T. Mills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Vittal Vasista, certify that:</w:t>
      </w:r>
    </w:p>
    <w:p>
      <w:pPr>
        <w:spacing w:after="0" w:line="117"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REGENXBIO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00" w:right="60" w:hanging="493"/>
        <w:spacing w:after="0" w:line="263"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800" w:hanging="493"/>
        <w:spacing w:after="0" w:line="342" w:lineRule="auto"/>
        <w:tabs>
          <w:tab w:leader="none" w:pos="10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80" w:hanging="493"/>
        <w:spacing w:after="0" w:line="277" w:lineRule="auto"/>
        <w:tabs>
          <w:tab w:leader="none" w:pos="10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6"/>
          <w:szCs w:val="16"/>
          <w:color w:val="auto"/>
        </w:rPr>
        <w:t>/s/ Vittal Vasista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Vittal Vasista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of REGENXBIO Inc. (the “Registrant”) on Form 10-K for the year ended December 31, 2021 as filed with the Securities and Exchange Commission on the date hereof (the “Report”), the undersigned, Kenneth T. Mills, President, Chief Executive Officer and Director of the Registrant, and Vittal Vasista, Chief Financial Officer of the Registrant, certify, pursuant to 18 U.S.C. Section 1350, as adopted pursuant to Section 906 of the Sarbanes-Oxley Act of 2002, that to their respective knowledge:</w:t>
      </w:r>
    </w:p>
    <w:p>
      <w:pPr>
        <w:spacing w:after="0" w:line="79" w:lineRule="exact"/>
        <w:rPr>
          <w:sz w:val="20"/>
          <w:szCs w:val="20"/>
          <w:color w:val="auto"/>
        </w:rPr>
      </w:pPr>
    </w:p>
    <w:p>
      <w:pPr>
        <w:ind w:left="1000" w:hanging="493"/>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6"/>
          <w:szCs w:val="16"/>
          <w:color w:val="auto"/>
        </w:rPr>
        <w:t>/s/ 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Kenneth T. Mills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6"/>
          <w:szCs w:val="16"/>
          <w:color w:val="auto"/>
        </w:rPr>
        <w:t>/s/ Vittal Vasista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Vittal Vasista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r>
        <w:rPr>
          <w:rFonts w:ascii="Arial" w:cs="Arial" w:eastAsia="Arial" w:hAnsi="Arial"/>
          <w:sz w:val="18"/>
          <w:szCs w:val="18"/>
          <w:color w:val="auto"/>
        </w:rPr>
        <w:t>.</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This certification accompanies the Form 10-K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10-K),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upperLetter"/>
      <w:start w:val="35"/>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decimal"/>
      <w:start w:val="18"/>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lowerRoman"/>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lvl w:ilvl="1">
      <w:lvlJc w:val="left"/>
      <w:lvlText w:val="o"/>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lowerLetter"/>
      <w:start w:val="1"/>
    </w:lvl>
    <w:lvl w:ilvl="1">
      <w:lvlJc w:val="left"/>
      <w:lvlText w:val="%2."/>
      <w:numFmt w:val="decimal"/>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1."/>
      <w:numFmt w:val="decimal"/>
      <w:start w:val="8"/>
    </w:lvl>
  </w:abstractNum>
  <w:abstractNum w:abstractNumId="67">
    <w:nsid w:val="42963E5A"/>
    <w:multiLevelType w:val="hybridMultilevel"/>
    <w:lvl w:ilvl="0">
      <w:lvlJc w:val="left"/>
      <w:lvlText w:val="(%1)"/>
      <w:numFmt w:val="lowerRoman"/>
      <w:start w:val="1"/>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decimal"/>
      <w:start w:val="14"/>
    </w:lvl>
  </w:abstractNum>
  <w:abstractNum w:abstractNumId="70">
    <w:nsid w:val="1A32234B"/>
    <w:multiLevelType w:val="hybridMultilevel"/>
    <w:lvl w:ilvl="0">
      <w:lvlJc w:val="left"/>
      <w:lvlText w:val="(%1)"/>
      <w:numFmt w:val="lowerRoman"/>
      <w:start w:val="1"/>
    </w:lvl>
  </w:abstractNum>
  <w:abstractNum w:abstractNumId="71">
    <w:nsid w:val="3B0FD379"/>
    <w:multiLevelType w:val="hybridMultilevel"/>
    <w:lvl w:ilvl="0">
      <w:lvlJc w:val="left"/>
      <w:lvlText w:val="%1"/>
      <w:numFmt w:val="decimal"/>
      <w:start w:val="104"/>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decimal"/>
      <w:start w:val="2"/>
    </w:lvl>
    <w:lvl w:ilvl="1">
      <w:lvlJc w:val="left"/>
      <w:lvlText w:val="(%2)"/>
      <w:numFmt w:val="lowerLetter"/>
      <w:start w:val="1"/>
    </w:lvl>
  </w:abstractNum>
  <w:abstractNum w:abstractNumId="79">
    <w:nsid w:val="71EA1109"/>
    <w:multiLevelType w:val="hybridMultilevel"/>
    <w:lvl w:ilvl="0">
      <w:lvlJc w:val="left"/>
      <w:lvlText w:val="(%1)"/>
      <w:numFmt w:val="lowerLetter"/>
      <w:start w:val="2"/>
    </w:lvl>
  </w:abstractNum>
  <w:abstractNum w:abstractNumId="80">
    <w:nsid w:val="100F59DC"/>
    <w:multiLevelType w:val="hybridMultilevel"/>
    <w:lvl w:ilvl="0">
      <w:lvlJc w:val="left"/>
      <w:lvlText w:val="%1."/>
      <w:numFmt w:val="decimal"/>
      <w:start w:val="6"/>
    </w:lvl>
    <w:lvl w:ilvl="1">
      <w:lvlJc w:val="left"/>
      <w:lvlText w:val="(%2)"/>
      <w:numFmt w:val="lowerLetter"/>
      <w:start w:val="1"/>
    </w:lvl>
  </w:abstractNum>
  <w:abstractNum w:abstractNumId="81">
    <w:nsid w:val="7FB7E0AA"/>
    <w:multiLevelType w:val="hybridMultilevel"/>
    <w:lvl w:ilvl="0">
      <w:lvlJc w:val="left"/>
      <w:lvlText w:val="%1"/>
      <w:numFmt w:val="decimal"/>
      <w:start w:val="1"/>
    </w:lvl>
    <w:lvl w:ilvl="1">
      <w:lvlJc w:val="left"/>
      <w:lvlText w:val="(%2)"/>
      <w:numFmt w:val="lowerLetter"/>
      <w:start w:val="7"/>
    </w:lvl>
  </w:abstractNum>
  <w:abstractNum w:abstractNumId="82">
    <w:nsid w:val="6EB5BD4"/>
    <w:multiLevelType w:val="hybridMultilevel"/>
    <w:lvl w:ilvl="0">
      <w:lvlJc w:val="left"/>
      <w:lvlText w:val="%1."/>
      <w:numFmt w:val="decimal"/>
      <w:start w:val="7"/>
    </w:lvl>
    <w:lvl w:ilvl="1">
      <w:lvlJc w:val="left"/>
      <w:lvlText w:val="(%2)"/>
      <w:numFmt w:val="lowerLetter"/>
      <w:start w:val="1"/>
    </w:lvl>
  </w:abstractNum>
  <w:abstractNum w:abstractNumId="83">
    <w:nsid w:val="6F6DD9AC"/>
    <w:multiLevelType w:val="hybridMultilevel"/>
    <w:lvl w:ilvl="0">
      <w:lvlJc w:val="left"/>
      <w:lvlText w:val="%1."/>
      <w:numFmt w:val="decimal"/>
      <w:start w:val="10"/>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155" Type="http://schemas.openxmlformats.org/officeDocument/2006/relationships/hyperlink" Target="http://www.sec.gov/Archives/edgar/data/1590877/000156459021031957/rgnx-ex31_42.htm" TargetMode="External"/><Relationship Id="rId156" Type="http://schemas.openxmlformats.org/officeDocument/2006/relationships/hyperlink" Target="http://www.sec.gov/Archives/edgar/data/0001590877/000119312515325596/d56083dex32.htm" TargetMode="External"/><Relationship Id="rId157" Type="http://schemas.openxmlformats.org/officeDocument/2006/relationships/hyperlink" Target="http://www.sec.gov/Archives/edgar/data/0001590877/000119312515292943/d938481dex41.htm" TargetMode="External"/><Relationship Id="rId158" Type="http://schemas.openxmlformats.org/officeDocument/2006/relationships/hyperlink" Target="http://www.sec.gov/Archives/edgar/data/0001590877/000119312515292943/d938481dex101.htm" TargetMode="External"/><Relationship Id="rId159" Type="http://schemas.openxmlformats.org/officeDocument/2006/relationships/hyperlink" Target="http://www.sec.gov/Archives/edgar/data/0001590877/000119312515292943/d938481dex102.htm" TargetMode="External"/><Relationship Id="rId160" Type="http://schemas.openxmlformats.org/officeDocument/2006/relationships/hyperlink" Target="http://www.sec.gov/Archives/edgar/data/0001590877/000119312515320057/d938481dex103.htm" TargetMode="External"/><Relationship Id="rId161" Type="http://schemas.openxmlformats.org/officeDocument/2006/relationships/hyperlink" Target="http://www.sec.gov/Archives/edgar/data/0001590877/000156459021009855/rgnx-ex104_136.htm" TargetMode="External"/><Relationship Id="rId162" Type="http://schemas.openxmlformats.org/officeDocument/2006/relationships/hyperlink" Target="http://www.sec.gov/Archives/edgar/data/0001590877/000156459021009855/rgnx-ex105_135.htm" TargetMode="External"/><Relationship Id="rId163" Type="http://schemas.openxmlformats.org/officeDocument/2006/relationships/hyperlink" Target="http://www.sec.gov/Archives/edgar/data/0001590877/000119312515313468/d938481dex104.htm" TargetMode="External"/><Relationship Id="rId164" Type="http://schemas.openxmlformats.org/officeDocument/2006/relationships/hyperlink" Target="http://www.sec.gov/Archives/edgar/data/0001590877/000119312515292943/d938481dex105.htm" TargetMode="External"/><Relationship Id="rId165" Type="http://schemas.openxmlformats.org/officeDocument/2006/relationships/hyperlink" Target="http://www.sec.gov/Archives/edgar/data/0001590877/000119312515292943/d938481dex107.htm" TargetMode="External"/><Relationship Id="rId166" Type="http://schemas.openxmlformats.org/officeDocument/2006/relationships/hyperlink" Target="http://www.sec.gov/Archives/edgar/data/0001590877/000156459016013941/rgnx-ex1034_732.htm" TargetMode="External"/><Relationship Id="rId167" Type="http://schemas.openxmlformats.org/officeDocument/2006/relationships/hyperlink" Target="http://www.sec.gov/Archives/edgar/data/0001590877/000156459016028642/rgnx-ex1037_74.htm" TargetMode="External"/><Relationship Id="rId168" Type="http://schemas.openxmlformats.org/officeDocument/2006/relationships/hyperlink" Target="http://www.sec.gov/Archives/edgar/data/0001590877/000156459017009868/rgnx-ex101_117.htm" TargetMode="External"/><Relationship Id="rId169" Type="http://schemas.openxmlformats.org/officeDocument/2006/relationships/hyperlink" Target="http://www.sec.gov/Archives/edgar/data/1590877/000156459019016531/rgnx-ex101_99.htm" TargetMode="External"/><Relationship Id="rId170" Type="http://schemas.openxmlformats.org/officeDocument/2006/relationships/hyperlink" Target="http://www.sec.gov/Archives/edgar/data/0001590877/000156459020050485/rgnx-ex101_116.htm" TargetMode="External"/><Relationship Id="rId171" Type="http://schemas.openxmlformats.org/officeDocument/2006/relationships/hyperlink" Target="http://www.sec.gov/Archives/edgar/data/0001590877/000119312515292943/d938481dex1029.htm" TargetMode="External"/><Relationship Id="rId172" Type="http://schemas.openxmlformats.org/officeDocument/2006/relationships/hyperlink" Target="http://www.sec.gov/Archives/edgar/data/0001590877/000119312515320057/d938481dex109.htm" TargetMode="External"/><Relationship Id="rId173" Type="http://schemas.openxmlformats.org/officeDocument/2006/relationships/hyperlink" Target="http://www.sec.gov/Archives/edgar/data/0001590877/000119312515292943/d938481dex1010.htm" TargetMode="External"/><Relationship Id="rId174" Type="http://schemas.openxmlformats.org/officeDocument/2006/relationships/hyperlink" Target="http://www.sec.gov/Archives/edgar/data/0001590877/000119312515320057/d938481dex1011.htm" TargetMode="External"/><Relationship Id="rId175" Type="http://schemas.openxmlformats.org/officeDocument/2006/relationships/hyperlink" Target="http://www.sec.gov/Archives/edgar/data/0001590877/000119312516803234/d320043dex1036.htm" TargetMode="External"/><Relationship Id="rId176" Type="http://schemas.openxmlformats.org/officeDocument/2006/relationships/hyperlink" Target="http://www.sec.gov/Archives/edgar/data/1590877/000156459019016531/rgnx-ex102_273.htm" TargetMode="External"/><Relationship Id="rId179" Type="http://schemas.openxmlformats.org/officeDocument/2006/relationships/hyperlink" Target="http://www.sec.gov/Archives/edgar/data/0001590877/000119312515320057/d938481dex1012.htm" TargetMode="External"/><Relationship Id="rId180" Type="http://schemas.openxmlformats.org/officeDocument/2006/relationships/hyperlink" Target="http://www.sec.gov/Archives/edgar/data/0001590877/000119312515292943/d938481dex1013.htm" TargetMode="External"/><Relationship Id="rId181" Type="http://schemas.openxmlformats.org/officeDocument/2006/relationships/hyperlink" Target="http://www.sec.gov/Archives/edgar/data/0001590877/000119312515320057/d938481dex1016.htm" TargetMode="External"/><Relationship Id="rId182" Type="http://schemas.openxmlformats.org/officeDocument/2006/relationships/hyperlink" Target="http://www.sec.gov/Archives/edgar/data/0001590877/000156459018004532/rgnx-ex1024_75.htm" TargetMode="External"/><Relationship Id="rId183" Type="http://schemas.openxmlformats.org/officeDocument/2006/relationships/hyperlink" Target="http://www.sec.gov/Archives/edgar/data/1590877/000156459021053565/rgnx-ex101_128.htm" TargetMode="External"/><Relationship Id="rId184" Type="http://schemas.openxmlformats.org/officeDocument/2006/relationships/hyperlink" Target="http://www.sec.gov/Archives/edgar/data/0001590877/000119312515292943/d938481dex1026.htm" TargetMode="External"/><Relationship Id="rId185" Type="http://schemas.openxmlformats.org/officeDocument/2006/relationships/hyperlink" Target="http://www.sec.gov/Archives/edgar/data/0001590877/000156459016013941/rgnx-ex1031_226.htm" TargetMode="External"/><Relationship Id="rId186" Type="http://schemas.openxmlformats.org/officeDocument/2006/relationships/hyperlink" Target="http://www.sec.gov/Archives/edgar/data/0001590877/000156459016013941/rgnx-ex1032_225.htm" TargetMode="External"/><Relationship Id="rId187" Type="http://schemas.openxmlformats.org/officeDocument/2006/relationships/hyperlink" Target="http://www.sec.gov/Archives/edgar/data/0001590877/000156459017016550/rgnx-ex101_86.htm" TargetMode="External"/><Relationship Id="rId188" Type="http://schemas.openxmlformats.org/officeDocument/2006/relationships/hyperlink" Target="http://www.sec.gov/Archives/edgar/data/0001590877/000156459018011844/rgnx-ex101_77.htm" TargetMode="External"/><Relationship Id="rId189" Type="http://schemas.openxmlformats.org/officeDocument/2006/relationships/hyperlink" Target="http://www.sec.gov/Archives/edgar/data/1590877/000156459020050485/rgnx-ex103_115.htm" TargetMode="External"/><Relationship Id="rId190" Type="http://schemas.openxmlformats.org/officeDocument/2006/relationships/hyperlink" Target="http://www.sec.gov/Archives/edgar/data/0001590877/000119312519164137/d681758dex101.htm" TargetMode="External"/><Relationship Id="rId191" Type="http://schemas.openxmlformats.org/officeDocument/2006/relationships/hyperlink" Target="http://www.sec.gov/Archives/edgar/data/0001590877/000119312519164137/d681758dex102.htm" TargetMode="External"/><Relationship Id="rId192" Type="http://schemas.openxmlformats.org/officeDocument/2006/relationships/hyperlink" Target="http://www.sec.gov/Archives/edgar/data/0001590877/000156459018028054/rgnx-ex101_80.htm" TargetMode="External"/><Relationship Id="rId193" Type="http://schemas.openxmlformats.org/officeDocument/2006/relationships/hyperlink" Target="http://www.sec.gov/Archives/edgar/data/1590877/000156459019016531/rgnx-ex103_98.htm" TargetMode="External"/><Relationship Id="rId194" Type="http://schemas.openxmlformats.org/officeDocument/2006/relationships/hyperlink" Target="http://www.sec.gov/Archives/edgar/data/1590877/000156459019016531/rgnx-ex104_97.htm" TargetMode="External"/><Relationship Id="rId195" Type="http://schemas.openxmlformats.org/officeDocument/2006/relationships/hyperlink" Target="http://www.sec.gov/Archives/edgar/data/1590877/000156459019040403/rgnx-ex101_176.htm" TargetMode="External"/><Relationship Id="rId196" Type="http://schemas.openxmlformats.org/officeDocument/2006/relationships/hyperlink" Target="http://www.sec.gov/Archives/edgar/data/1590877/000156459020050485/rgnx-ex104_113.htm" TargetMode="External"/><Relationship Id="rId197" Type="http://schemas.openxmlformats.org/officeDocument/2006/relationships/hyperlink" Target="http://www.sec.gov/Archives/edgar/data/0001590877/000156459021009855/rgnx-ex1042_1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2022-03-01T19:08:35Z</dcterms:created>
  <dcterms:modified xsi:type="dcterms:W3CDTF">2022-03-01T19:08:35Z</dcterms:modified>
</cp:coreProperties>
</file>