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-654685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3963670</wp:posOffset>
            </wp:positionH>
            <wp:positionV relativeFrom="paragraph">
              <wp:posOffset>-622935</wp:posOffset>
            </wp:positionV>
            <wp:extent cx="57785" cy="636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739140</wp:posOffset>
            </wp:positionV>
            <wp:extent cx="7046595" cy="49263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26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STUMP DAVID C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REGENXBIO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RGNX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REGENXBIO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9804 MEDICAL CENTER DRIVE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ROCKVILLE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20850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18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7"/>
              </w:rPr>
              <w:t>9,807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28,861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7.01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05/29/2026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46,600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05/29/2027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05/29/2036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46,600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46,600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158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 w:right="560" w:firstLine="1"/>
        <w:spacing w:after="0" w:line="253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common stock underlying a time-based restricted stock unit award (RSU). 100% of the shares subject to this RSU will vest on May 29, 2027 subject to the continuous service of the recipient to the Issuer.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will vest on May 29, 2027 subject to the continuous service of the optionee to the Issuer.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Patrick J. Christmas as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20" w:type="dxa"/>
            <w:vAlign w:val="bottom"/>
            <w:gridSpan w:val="3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91235" TargetMode="External"/><Relationship Id="rId14" Type="http://schemas.openxmlformats.org/officeDocument/2006/relationships/hyperlink" Target="http://www.sec.gov/cgi-bin/browse-edgar?action=getcompany&amp;CIK=00015908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2026-06-02T16:47:14Z</dcterms:created>
  <dcterms:modified xsi:type="dcterms:W3CDTF">2026-06-02T16:47:14Z</dcterms:modified>
</cp:coreProperties>
</file>