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29,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REGENXBIO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001-37553</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47-1851754</w:t>
            </w:r>
          </w:p>
        </w:tc>
      </w:tr>
      <w:tr>
        <w:trPr>
          <w:trHeight w:val="149"/>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rPr>
              <w:t>9804 Medical Center Drive</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00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w w:val="99"/>
              </w:rPr>
              <w:t>Rockville, Maryland</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20850</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240 552-8181</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RGNX</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121"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REGENXBIO Inc. (the “Company”) held its 2026 Annual Meeting of Stockholders (the “Annual Meeting”) on May 29, 2026. There were 42,818,883 shares of common stock represented at the meeting by valid proxies or voted at the meeting, which was approximately 82.95% of the shares of common stock that were entitled to vote at the Annual Meeting. The final voting results for each proposal considered at the Annual Meeting are set forth below. For more information on the proposals, please refer to the Company’s definitive proxy statement related to the Annual Meeting, which was filed with the SEC on April 14, 2026 (the “Proxy Statement”).</w:t>
      </w:r>
    </w:p>
    <w:p>
      <w:pPr>
        <w:spacing w:after="0" w:line="179"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Proposal 1</w:t>
      </w:r>
      <w:r>
        <w:rPr>
          <w:rFonts w:ascii="Times New Roman" w:cs="Times New Roman" w:eastAsia="Times New Roman" w:hAnsi="Times New Roman"/>
          <w:sz w:val="18"/>
          <w:szCs w:val="18"/>
          <w:color w:val="auto"/>
        </w:rPr>
        <w:t>: By the following vote, the following three persons were elected to serve as Class II directors until the Company’s 2029 annual meeting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stockholders:</w:t>
      </w:r>
    </w:p>
    <w:p>
      <w:pPr>
        <w:spacing w:after="0" w:line="151" w:lineRule="exact"/>
        <w:rPr>
          <w:sz w:val="20"/>
          <w:szCs w:val="20"/>
          <w:color w:val="auto"/>
        </w:rPr>
      </w:pPr>
    </w:p>
    <w:tbl>
      <w:tblPr>
        <w:tblLayout w:type="fixed"/>
        <w:tblInd w:w="740" w:type="dxa"/>
        <w:tblCellMar>
          <w:top w:w="0" w:type="dxa"/>
          <w:left w:w="0" w:type="dxa"/>
          <w:bottom w:w="0" w:type="dxa"/>
          <w:right w:w="0" w:type="dxa"/>
        </w:tblCellMar>
      </w:tblPr>
      <w:tr>
        <w:trPr>
          <w:trHeight w:val="161"/>
        </w:trPr>
        <w:tc>
          <w:tcPr>
            <w:tcW w:w="2840" w:type="dxa"/>
            <w:vAlign w:val="bottom"/>
            <w:gridSpan w:val="3"/>
          </w:tcPr>
          <w:p>
            <w:pPr>
              <w:ind w:left="1080"/>
              <w:spacing w:after="0"/>
              <w:rPr>
                <w:sz w:val="20"/>
                <w:szCs w:val="20"/>
                <w:color w:val="auto"/>
              </w:rPr>
            </w:pPr>
            <w:r>
              <w:rPr>
                <w:rFonts w:ascii="Times New Roman" w:cs="Times New Roman" w:eastAsia="Times New Roman" w:hAnsi="Times New Roman"/>
                <w:sz w:val="14"/>
                <w:szCs w:val="14"/>
                <w:b w:val="1"/>
                <w:bCs w:val="1"/>
                <w:color w:val="auto"/>
              </w:rPr>
              <w:t>Nominee</w:t>
            </w:r>
          </w:p>
        </w:tc>
        <w:tc>
          <w:tcPr>
            <w:tcW w:w="780" w:type="dxa"/>
            <w:vAlign w:val="bottom"/>
          </w:tcPr>
          <w:p>
            <w:pPr>
              <w:spacing w:after="0"/>
              <w:rPr>
                <w:sz w:val="13"/>
                <w:szCs w:val="13"/>
                <w:color w:val="auto"/>
              </w:rPr>
            </w:pPr>
          </w:p>
        </w:tc>
        <w:tc>
          <w:tcPr>
            <w:tcW w:w="2300" w:type="dxa"/>
            <w:vAlign w:val="bottom"/>
            <w:gridSpan w:val="2"/>
          </w:tcPr>
          <w:p>
            <w:pPr>
              <w:jc w:val="center"/>
              <w:ind w:right="1700"/>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2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Votes Withheld</w:t>
            </w:r>
          </w:p>
        </w:tc>
        <w:tc>
          <w:tcPr>
            <w:tcW w:w="174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7"/>
        </w:trPr>
        <w:tc>
          <w:tcPr>
            <w:tcW w:w="10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7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3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r>
      <w:tr>
        <w:trPr>
          <w:trHeight w:val="216"/>
        </w:trPr>
        <w:tc>
          <w:tcPr>
            <w:tcW w:w="2840" w:type="dxa"/>
            <w:vAlign w:val="bottom"/>
            <w:gridSpan w:val="3"/>
            <w:shd w:val="clear" w:color="auto" w:fill="CFEFFB"/>
          </w:tcPr>
          <w:p>
            <w:pPr>
              <w:spacing w:after="0"/>
              <w:rPr>
                <w:sz w:val="20"/>
                <w:szCs w:val="20"/>
                <w:color w:val="auto"/>
              </w:rPr>
            </w:pPr>
            <w:r>
              <w:rPr>
                <w:rFonts w:ascii="Times New Roman" w:cs="Times New Roman" w:eastAsia="Times New Roman" w:hAnsi="Times New Roman"/>
                <w:sz w:val="18"/>
                <w:szCs w:val="18"/>
                <w:color w:val="auto"/>
              </w:rPr>
              <w:t>Jean Bennett, M.D., Ph.D.</w:t>
            </w:r>
          </w:p>
        </w:tc>
        <w:tc>
          <w:tcPr>
            <w:tcW w:w="3080" w:type="dxa"/>
            <w:vAlign w:val="bottom"/>
            <w:gridSpan w:val="3"/>
            <w:shd w:val="clear" w:color="auto" w:fill="CFEFFB"/>
          </w:tcPr>
          <w:p>
            <w:pPr>
              <w:jc w:val="center"/>
              <w:ind w:right="920"/>
              <w:spacing w:after="0"/>
              <w:rPr>
                <w:sz w:val="20"/>
                <w:szCs w:val="20"/>
                <w:color w:val="auto"/>
              </w:rPr>
            </w:pPr>
            <w:r>
              <w:rPr>
                <w:rFonts w:ascii="Times New Roman" w:cs="Times New Roman" w:eastAsia="Times New Roman" w:hAnsi="Times New Roman"/>
                <w:sz w:val="18"/>
                <w:szCs w:val="18"/>
                <w:color w:val="auto"/>
                <w:w w:val="98"/>
              </w:rPr>
              <w:t>24,025,836</w:t>
            </w:r>
          </w:p>
        </w:tc>
        <w:tc>
          <w:tcPr>
            <w:tcW w:w="960" w:type="dxa"/>
            <w:vAlign w:val="bottom"/>
            <w:shd w:val="clear" w:color="auto" w:fill="CFEFFB"/>
          </w:tcPr>
          <w:p>
            <w:pPr>
              <w:jc w:val="center"/>
              <w:spacing w:after="0"/>
              <w:rPr>
                <w:sz w:val="20"/>
                <w:szCs w:val="20"/>
                <w:color w:val="auto"/>
              </w:rPr>
            </w:pPr>
            <w:r>
              <w:rPr>
                <w:rFonts w:ascii="Times New Roman" w:cs="Times New Roman" w:eastAsia="Times New Roman" w:hAnsi="Times New Roman"/>
                <w:sz w:val="18"/>
                <w:szCs w:val="18"/>
                <w:color w:val="auto"/>
              </w:rPr>
              <w:t>11,238,926</w:t>
            </w:r>
          </w:p>
        </w:tc>
        <w:tc>
          <w:tcPr>
            <w:tcW w:w="1360" w:type="dxa"/>
            <w:vAlign w:val="bottom"/>
            <w:shd w:val="clear" w:color="auto" w:fill="CFEFFB"/>
          </w:tcPr>
          <w:p>
            <w:pPr>
              <w:spacing w:after="0"/>
              <w:rPr>
                <w:sz w:val="18"/>
                <w:szCs w:val="18"/>
                <w:color w:val="auto"/>
              </w:rPr>
            </w:pPr>
          </w:p>
        </w:tc>
        <w:tc>
          <w:tcPr>
            <w:tcW w:w="1140" w:type="dxa"/>
            <w:vAlign w:val="bottom"/>
            <w:shd w:val="clear" w:color="auto" w:fill="CFEFFB"/>
          </w:tcPr>
          <w:p>
            <w:pPr>
              <w:jc w:val="center"/>
              <w:spacing w:after="0"/>
              <w:rPr>
                <w:sz w:val="20"/>
                <w:szCs w:val="20"/>
                <w:color w:val="auto"/>
              </w:rPr>
            </w:pPr>
            <w:r>
              <w:rPr>
                <w:rFonts w:ascii="Times New Roman" w:cs="Times New Roman" w:eastAsia="Times New Roman" w:hAnsi="Times New Roman"/>
                <w:sz w:val="18"/>
                <w:szCs w:val="18"/>
                <w:color w:val="auto"/>
                <w:w w:val="99"/>
              </w:rPr>
              <w:t>7,554,121</w:t>
            </w:r>
          </w:p>
        </w:tc>
        <w:tc>
          <w:tcPr>
            <w:tcW w:w="600" w:type="dxa"/>
            <w:vAlign w:val="bottom"/>
            <w:shd w:val="clear" w:color="auto" w:fill="CFEFFB"/>
          </w:tcPr>
          <w:p>
            <w:pPr>
              <w:spacing w:after="0"/>
              <w:rPr>
                <w:sz w:val="18"/>
                <w:szCs w:val="18"/>
                <w:color w:val="auto"/>
              </w:rPr>
            </w:pPr>
          </w:p>
        </w:tc>
      </w:tr>
      <w:tr>
        <w:trPr>
          <w:trHeight w:val="216"/>
        </w:trPr>
        <w:tc>
          <w:tcPr>
            <w:tcW w:w="2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A.N. “Jerry” Karabelas, Ph.D.</w:t>
            </w:r>
          </w:p>
        </w:tc>
        <w:tc>
          <w:tcPr>
            <w:tcW w:w="3080" w:type="dxa"/>
            <w:vAlign w:val="bottom"/>
            <w:gridSpan w:val="3"/>
          </w:tcPr>
          <w:p>
            <w:pPr>
              <w:jc w:val="center"/>
              <w:ind w:right="920"/>
              <w:spacing w:after="0"/>
              <w:rPr>
                <w:sz w:val="20"/>
                <w:szCs w:val="20"/>
                <w:color w:val="auto"/>
              </w:rPr>
            </w:pPr>
            <w:r>
              <w:rPr>
                <w:rFonts w:ascii="Times New Roman" w:cs="Times New Roman" w:eastAsia="Times New Roman" w:hAnsi="Times New Roman"/>
                <w:sz w:val="18"/>
                <w:szCs w:val="18"/>
                <w:color w:val="auto"/>
                <w:w w:val="98"/>
              </w:rPr>
              <w:t>27,124,923</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8,139,839</w:t>
            </w:r>
          </w:p>
        </w:tc>
        <w:tc>
          <w:tcPr>
            <w:tcW w:w="13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7,554,121</w:t>
            </w:r>
          </w:p>
        </w:tc>
        <w:tc>
          <w:tcPr>
            <w:tcW w:w="600" w:type="dxa"/>
            <w:vAlign w:val="bottom"/>
          </w:tcPr>
          <w:p>
            <w:pPr>
              <w:spacing w:after="0"/>
              <w:rPr>
                <w:sz w:val="18"/>
                <w:szCs w:val="18"/>
                <w:color w:val="auto"/>
              </w:rPr>
            </w:pPr>
          </w:p>
        </w:tc>
      </w:tr>
      <w:tr>
        <w:trPr>
          <w:trHeight w:val="216"/>
        </w:trPr>
        <w:tc>
          <w:tcPr>
            <w:tcW w:w="2840" w:type="dxa"/>
            <w:vAlign w:val="bottom"/>
            <w:gridSpan w:val="3"/>
            <w:shd w:val="clear" w:color="auto" w:fill="CFF3FD"/>
          </w:tcPr>
          <w:p>
            <w:pPr>
              <w:spacing w:after="0"/>
              <w:rPr>
                <w:sz w:val="20"/>
                <w:szCs w:val="20"/>
                <w:color w:val="auto"/>
              </w:rPr>
            </w:pPr>
            <w:r>
              <w:rPr>
                <w:rFonts w:ascii="Times New Roman" w:cs="Times New Roman" w:eastAsia="Times New Roman" w:hAnsi="Times New Roman"/>
                <w:sz w:val="18"/>
                <w:szCs w:val="18"/>
                <w:color w:val="auto"/>
              </w:rPr>
              <w:t>Daniel Tassé</w:t>
            </w:r>
          </w:p>
        </w:tc>
        <w:tc>
          <w:tcPr>
            <w:tcW w:w="3080" w:type="dxa"/>
            <w:vAlign w:val="bottom"/>
            <w:gridSpan w:val="3"/>
            <w:shd w:val="clear" w:color="auto" w:fill="CFF3FD"/>
          </w:tcPr>
          <w:p>
            <w:pPr>
              <w:jc w:val="center"/>
              <w:ind w:right="920"/>
              <w:spacing w:after="0"/>
              <w:rPr>
                <w:sz w:val="20"/>
                <w:szCs w:val="20"/>
                <w:color w:val="auto"/>
              </w:rPr>
            </w:pPr>
            <w:r>
              <w:rPr>
                <w:rFonts w:ascii="Times New Roman" w:cs="Times New Roman" w:eastAsia="Times New Roman" w:hAnsi="Times New Roman"/>
                <w:sz w:val="18"/>
                <w:szCs w:val="18"/>
                <w:color w:val="auto"/>
                <w:w w:val="98"/>
              </w:rPr>
              <w:t>32,039,753</w:t>
            </w:r>
          </w:p>
        </w:tc>
        <w:tc>
          <w:tcPr>
            <w:tcW w:w="960" w:type="dxa"/>
            <w:vAlign w:val="bottom"/>
            <w:shd w:val="clear" w:color="auto" w:fill="CFF3FD"/>
          </w:tcPr>
          <w:p>
            <w:pPr>
              <w:jc w:val="center"/>
              <w:spacing w:after="0"/>
              <w:rPr>
                <w:sz w:val="20"/>
                <w:szCs w:val="20"/>
                <w:color w:val="auto"/>
              </w:rPr>
            </w:pPr>
            <w:r>
              <w:rPr>
                <w:rFonts w:ascii="Times New Roman" w:cs="Times New Roman" w:eastAsia="Times New Roman" w:hAnsi="Times New Roman"/>
                <w:sz w:val="18"/>
                <w:szCs w:val="18"/>
                <w:color w:val="auto"/>
                <w:w w:val="99"/>
              </w:rPr>
              <w:t>3,225,009</w:t>
            </w:r>
          </w:p>
        </w:tc>
        <w:tc>
          <w:tcPr>
            <w:tcW w:w="1360" w:type="dxa"/>
            <w:vAlign w:val="bottom"/>
            <w:shd w:val="clear" w:color="auto" w:fill="CFF3FD"/>
          </w:tcPr>
          <w:p>
            <w:pPr>
              <w:spacing w:after="0"/>
              <w:rPr>
                <w:sz w:val="18"/>
                <w:szCs w:val="18"/>
                <w:color w:val="auto"/>
              </w:rPr>
            </w:pPr>
          </w:p>
        </w:tc>
        <w:tc>
          <w:tcPr>
            <w:tcW w:w="1140" w:type="dxa"/>
            <w:vAlign w:val="bottom"/>
            <w:shd w:val="clear" w:color="auto" w:fill="CFF3FD"/>
          </w:tcPr>
          <w:p>
            <w:pPr>
              <w:jc w:val="center"/>
              <w:spacing w:after="0"/>
              <w:rPr>
                <w:sz w:val="20"/>
                <w:szCs w:val="20"/>
                <w:color w:val="auto"/>
              </w:rPr>
            </w:pPr>
            <w:r>
              <w:rPr>
                <w:rFonts w:ascii="Times New Roman" w:cs="Times New Roman" w:eastAsia="Times New Roman" w:hAnsi="Times New Roman"/>
                <w:sz w:val="18"/>
                <w:szCs w:val="18"/>
                <w:color w:val="auto"/>
                <w:w w:val="99"/>
              </w:rPr>
              <w:t>7,554,121</w:t>
            </w:r>
          </w:p>
        </w:tc>
        <w:tc>
          <w:tcPr>
            <w:tcW w:w="600" w:type="dxa"/>
            <w:vAlign w:val="bottom"/>
            <w:shd w:val="clear" w:color="auto" w:fill="CFF3FD"/>
          </w:tcPr>
          <w:p>
            <w:pPr>
              <w:spacing w:after="0"/>
              <w:rPr>
                <w:sz w:val="18"/>
                <w:szCs w:val="18"/>
                <w:color w:val="auto"/>
              </w:rPr>
            </w:pPr>
          </w:p>
        </w:tc>
      </w:tr>
    </w:tbl>
    <w:p>
      <w:pPr>
        <w:spacing w:after="0" w:line="194"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Proposal 2</w:t>
      </w:r>
      <w:r>
        <w:rPr>
          <w:rFonts w:ascii="Times New Roman" w:cs="Times New Roman" w:eastAsia="Times New Roman" w:hAnsi="Times New Roman"/>
          <w:sz w:val="18"/>
          <w:szCs w:val="18"/>
          <w:color w:val="auto"/>
        </w:rPr>
        <w:t>: By the following vote, the stockholders ratified the appointment of PricewaterhouseCoopers LLP as the Company’s independent registered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public accounting firm for the year ending December 31, 2026:</w:t>
      </w:r>
    </w:p>
    <w:p>
      <w:pPr>
        <w:spacing w:after="0" w:line="151" w:lineRule="exact"/>
        <w:rPr>
          <w:sz w:val="20"/>
          <w:szCs w:val="20"/>
          <w:color w:val="auto"/>
        </w:rPr>
      </w:pPr>
    </w:p>
    <w:tbl>
      <w:tblPr>
        <w:tblLayout w:type="fixed"/>
        <w:tblInd w:w="760" w:type="dxa"/>
        <w:tblCellMar>
          <w:top w:w="0" w:type="dxa"/>
          <w:left w:w="0" w:type="dxa"/>
          <w:bottom w:w="0" w:type="dxa"/>
          <w:right w:w="0" w:type="dxa"/>
        </w:tblCellMar>
      </w:tblPr>
      <w:tr>
        <w:trPr>
          <w:trHeight w:val="161"/>
        </w:trPr>
        <w:tc>
          <w:tcPr>
            <w:tcW w:w="3500" w:type="dxa"/>
            <w:vAlign w:val="bottom"/>
            <w:gridSpan w:val="3"/>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Votes Against</w:t>
            </w:r>
          </w:p>
        </w:tc>
        <w:tc>
          <w:tcPr>
            <w:tcW w:w="3900" w:type="dxa"/>
            <w:vAlign w:val="bottom"/>
            <w:gridSpan w:val="3"/>
          </w:tcPr>
          <w:p>
            <w:pPr>
              <w:jc w:val="center"/>
              <w:ind w:left="59"/>
              <w:spacing w:after="0"/>
              <w:rPr>
                <w:sz w:val="20"/>
                <w:szCs w:val="20"/>
                <w:color w:val="auto"/>
              </w:rPr>
            </w:pPr>
            <w:r>
              <w:rPr>
                <w:rFonts w:ascii="Times New Roman" w:cs="Times New Roman" w:eastAsia="Times New Roman" w:hAnsi="Times New Roman"/>
                <w:sz w:val="14"/>
                <w:szCs w:val="14"/>
                <w:b w:val="1"/>
                <w:bCs w:val="1"/>
                <w:color w:val="auto"/>
              </w:rPr>
              <w:t>Votes Abstaining</w:t>
            </w:r>
          </w:p>
        </w:tc>
        <w:tc>
          <w:tcPr>
            <w:tcW w:w="174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0"/>
        </w:trPr>
        <w:tc>
          <w:tcPr>
            <w:tcW w:w="10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09"/>
        </w:trPr>
        <w:tc>
          <w:tcPr>
            <w:tcW w:w="3500" w:type="dxa"/>
            <w:vAlign w:val="bottom"/>
            <w:gridSpan w:val="3"/>
            <w:shd w:val="clear" w:color="auto" w:fill="CFF3FD"/>
          </w:tcPr>
          <w:p>
            <w:pPr>
              <w:jc w:val="right"/>
              <w:ind w:right="1740"/>
              <w:spacing w:after="0"/>
              <w:rPr>
                <w:sz w:val="20"/>
                <w:szCs w:val="20"/>
                <w:color w:val="auto"/>
              </w:rPr>
            </w:pPr>
            <w:r>
              <w:rPr>
                <w:rFonts w:ascii="Times New Roman" w:cs="Times New Roman" w:eastAsia="Times New Roman" w:hAnsi="Times New Roman"/>
                <w:sz w:val="18"/>
                <w:szCs w:val="18"/>
                <w:color w:val="auto"/>
              </w:rPr>
              <w:t>42,526,553</w:t>
            </w:r>
          </w:p>
        </w:tc>
        <w:tc>
          <w:tcPr>
            <w:tcW w:w="840" w:type="dxa"/>
            <w:vAlign w:val="bottom"/>
            <w:shd w:val="clear" w:color="auto" w:fill="CFF3FD"/>
          </w:tcPr>
          <w:p>
            <w:pPr>
              <w:jc w:val="right"/>
              <w:ind w:right="39"/>
              <w:spacing w:after="0"/>
              <w:rPr>
                <w:sz w:val="20"/>
                <w:szCs w:val="20"/>
                <w:color w:val="auto"/>
              </w:rPr>
            </w:pPr>
            <w:r>
              <w:rPr>
                <w:rFonts w:ascii="Times New Roman" w:cs="Times New Roman" w:eastAsia="Times New Roman" w:hAnsi="Times New Roman"/>
                <w:sz w:val="18"/>
                <w:szCs w:val="18"/>
                <w:color w:val="auto"/>
              </w:rPr>
              <w:t>244,785</w:t>
            </w:r>
          </w:p>
        </w:tc>
        <w:tc>
          <w:tcPr>
            <w:tcW w:w="2540" w:type="dxa"/>
            <w:vAlign w:val="bottom"/>
            <w:gridSpan w:val="2"/>
            <w:shd w:val="clear" w:color="auto" w:fill="CFF3FD"/>
          </w:tcPr>
          <w:p>
            <w:pPr>
              <w:jc w:val="right"/>
              <w:ind w:right="280"/>
              <w:spacing w:after="0"/>
              <w:rPr>
                <w:sz w:val="20"/>
                <w:szCs w:val="20"/>
                <w:color w:val="auto"/>
              </w:rPr>
            </w:pPr>
            <w:r>
              <w:rPr>
                <w:rFonts w:ascii="Times New Roman" w:cs="Times New Roman" w:eastAsia="Times New Roman" w:hAnsi="Times New Roman"/>
                <w:sz w:val="18"/>
                <w:szCs w:val="18"/>
                <w:color w:val="auto"/>
              </w:rPr>
              <w:t>47,545</w:t>
            </w:r>
          </w:p>
        </w:tc>
        <w:tc>
          <w:tcPr>
            <w:tcW w:w="1360" w:type="dxa"/>
            <w:vAlign w:val="bottom"/>
            <w:shd w:val="clear" w:color="auto" w:fill="CFF3FD"/>
          </w:tcPr>
          <w:p>
            <w:pPr>
              <w:spacing w:after="0"/>
              <w:rPr>
                <w:sz w:val="18"/>
                <w:szCs w:val="18"/>
                <w:color w:val="auto"/>
              </w:rPr>
            </w:pPr>
          </w:p>
        </w:tc>
        <w:tc>
          <w:tcPr>
            <w:tcW w:w="1120" w:type="dxa"/>
            <w:vAlign w:val="bottom"/>
            <w:shd w:val="clear" w:color="auto" w:fill="CFF3FD"/>
          </w:tcPr>
          <w:p>
            <w:pPr>
              <w:jc w:val="right"/>
              <w:ind w:right="439"/>
              <w:spacing w:after="0"/>
              <w:rPr>
                <w:sz w:val="20"/>
                <w:szCs w:val="20"/>
                <w:color w:val="auto"/>
              </w:rPr>
            </w:pPr>
            <w:r>
              <w:rPr>
                <w:rFonts w:ascii="Times New Roman" w:cs="Times New Roman" w:eastAsia="Times New Roman" w:hAnsi="Times New Roman"/>
                <w:sz w:val="18"/>
                <w:szCs w:val="18"/>
                <w:color w:val="auto"/>
              </w:rPr>
              <w:t>0</w:t>
            </w:r>
          </w:p>
        </w:tc>
        <w:tc>
          <w:tcPr>
            <w:tcW w:w="620" w:type="dxa"/>
            <w:vAlign w:val="bottom"/>
            <w:shd w:val="clear" w:color="auto" w:fill="CFF3FD"/>
          </w:tcPr>
          <w:p>
            <w:pPr>
              <w:spacing w:after="0"/>
              <w:rPr>
                <w:sz w:val="18"/>
                <w:szCs w:val="18"/>
                <w:color w:val="auto"/>
              </w:rPr>
            </w:pPr>
          </w:p>
        </w:tc>
      </w:tr>
    </w:tbl>
    <w:p>
      <w:pPr>
        <w:spacing w:after="0" w:line="194"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Proposal 3</w:t>
      </w:r>
      <w:r>
        <w:rPr>
          <w:rFonts w:ascii="Times New Roman" w:cs="Times New Roman" w:eastAsia="Times New Roman" w:hAnsi="Times New Roman"/>
          <w:sz w:val="18"/>
          <w:szCs w:val="18"/>
          <w:color w:val="auto"/>
        </w:rPr>
        <w:t>: By the following vote, the stockholders approved, on an advisory basis, the compensation of the Company’s named executive officers,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disclosed in the Proxy Statement:</w:t>
      </w:r>
    </w:p>
    <w:p>
      <w:pPr>
        <w:spacing w:after="0" w:line="151" w:lineRule="exact"/>
        <w:rPr>
          <w:sz w:val="20"/>
          <w:szCs w:val="20"/>
          <w:color w:val="auto"/>
        </w:rPr>
      </w:pPr>
    </w:p>
    <w:tbl>
      <w:tblPr>
        <w:tblLayout w:type="fixed"/>
        <w:tblInd w:w="760" w:type="dxa"/>
        <w:tblCellMar>
          <w:top w:w="0" w:type="dxa"/>
          <w:left w:w="0" w:type="dxa"/>
          <w:bottom w:w="0" w:type="dxa"/>
          <w:right w:w="0" w:type="dxa"/>
        </w:tblCellMar>
      </w:tblPr>
      <w:tr>
        <w:trPr>
          <w:trHeight w:val="161"/>
        </w:trPr>
        <w:tc>
          <w:tcPr>
            <w:tcW w:w="3500" w:type="dxa"/>
            <w:vAlign w:val="bottom"/>
            <w:gridSpan w:val="3"/>
          </w:tcPr>
          <w:p>
            <w:pPr>
              <w:jc w:val="center"/>
              <w:ind w:right="820"/>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Votes Against</w:t>
            </w:r>
          </w:p>
        </w:tc>
        <w:tc>
          <w:tcPr>
            <w:tcW w:w="3240" w:type="dxa"/>
            <w:vAlign w:val="bottom"/>
            <w:gridSpan w:val="3"/>
          </w:tcPr>
          <w:p>
            <w:pPr>
              <w:jc w:val="center"/>
              <w:ind w:left="779"/>
              <w:spacing w:after="0"/>
              <w:rPr>
                <w:sz w:val="20"/>
                <w:szCs w:val="20"/>
                <w:color w:val="auto"/>
              </w:rPr>
            </w:pPr>
            <w:r>
              <w:rPr>
                <w:rFonts w:ascii="Times New Roman" w:cs="Times New Roman" w:eastAsia="Times New Roman" w:hAnsi="Times New Roman"/>
                <w:sz w:val="14"/>
                <w:szCs w:val="14"/>
                <w:b w:val="1"/>
                <w:bCs w:val="1"/>
                <w:color w:val="auto"/>
              </w:rPr>
              <w:t>Votes Abstaining</w:t>
            </w:r>
          </w:p>
        </w:tc>
        <w:tc>
          <w:tcPr>
            <w:tcW w:w="24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0"/>
        </w:trPr>
        <w:tc>
          <w:tcPr>
            <w:tcW w:w="10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09"/>
        </w:trPr>
        <w:tc>
          <w:tcPr>
            <w:tcW w:w="3500" w:type="dxa"/>
            <w:vAlign w:val="bottom"/>
            <w:gridSpan w:val="3"/>
            <w:shd w:val="clear" w:color="auto" w:fill="CFF3FD"/>
          </w:tcPr>
          <w:p>
            <w:pPr>
              <w:jc w:val="right"/>
              <w:ind w:right="1760"/>
              <w:spacing w:after="0"/>
              <w:rPr>
                <w:sz w:val="20"/>
                <w:szCs w:val="20"/>
                <w:color w:val="auto"/>
              </w:rPr>
            </w:pPr>
            <w:r>
              <w:rPr>
                <w:rFonts w:ascii="Times New Roman" w:cs="Times New Roman" w:eastAsia="Times New Roman" w:hAnsi="Times New Roman"/>
                <w:sz w:val="18"/>
                <w:szCs w:val="18"/>
                <w:color w:val="auto"/>
              </w:rPr>
              <w:t>32,392,302</w:t>
            </w:r>
          </w:p>
        </w:tc>
        <w:tc>
          <w:tcPr>
            <w:tcW w:w="840" w:type="dxa"/>
            <w:vAlign w:val="bottom"/>
            <w:shd w:val="clear" w:color="auto" w:fill="CFF3FD"/>
          </w:tcPr>
          <w:p>
            <w:pPr>
              <w:jc w:val="right"/>
              <w:spacing w:after="0"/>
              <w:rPr>
                <w:sz w:val="20"/>
                <w:szCs w:val="20"/>
                <w:color w:val="auto"/>
              </w:rPr>
            </w:pPr>
            <w:r>
              <w:rPr>
                <w:rFonts w:ascii="Times New Roman" w:cs="Times New Roman" w:eastAsia="Times New Roman" w:hAnsi="Times New Roman"/>
                <w:sz w:val="18"/>
                <w:szCs w:val="18"/>
                <w:color w:val="auto"/>
              </w:rPr>
              <w:t>2,722,825</w:t>
            </w:r>
          </w:p>
        </w:tc>
        <w:tc>
          <w:tcPr>
            <w:tcW w:w="2580" w:type="dxa"/>
            <w:vAlign w:val="bottom"/>
            <w:gridSpan w:val="2"/>
            <w:shd w:val="clear" w:color="auto" w:fill="CFF3FD"/>
          </w:tcPr>
          <w:p>
            <w:pPr>
              <w:jc w:val="right"/>
              <w:ind w:right="240"/>
              <w:spacing w:after="0"/>
              <w:rPr>
                <w:sz w:val="20"/>
                <w:szCs w:val="20"/>
                <w:color w:val="auto"/>
              </w:rPr>
            </w:pPr>
            <w:r>
              <w:rPr>
                <w:rFonts w:ascii="Times New Roman" w:cs="Times New Roman" w:eastAsia="Times New Roman" w:hAnsi="Times New Roman"/>
                <w:sz w:val="18"/>
                <w:szCs w:val="18"/>
                <w:color w:val="auto"/>
              </w:rPr>
              <w:t>149,635</w:t>
            </w:r>
          </w:p>
        </w:tc>
        <w:tc>
          <w:tcPr>
            <w:tcW w:w="660" w:type="dxa"/>
            <w:vAlign w:val="bottom"/>
            <w:shd w:val="clear" w:color="auto" w:fill="CFF3FD"/>
          </w:tcPr>
          <w:p>
            <w:pPr>
              <w:spacing w:after="0"/>
              <w:rPr>
                <w:sz w:val="18"/>
                <w:szCs w:val="18"/>
                <w:color w:val="auto"/>
              </w:rPr>
            </w:pPr>
          </w:p>
        </w:tc>
        <w:tc>
          <w:tcPr>
            <w:tcW w:w="1780" w:type="dxa"/>
            <w:vAlign w:val="bottom"/>
            <w:gridSpan w:val="2"/>
            <w:shd w:val="clear" w:color="auto" w:fill="CFF3FD"/>
          </w:tcPr>
          <w:p>
            <w:pPr>
              <w:jc w:val="right"/>
              <w:ind w:right="200"/>
              <w:spacing w:after="0"/>
              <w:rPr>
                <w:sz w:val="20"/>
                <w:szCs w:val="20"/>
                <w:color w:val="auto"/>
              </w:rPr>
            </w:pPr>
            <w:r>
              <w:rPr>
                <w:rFonts w:ascii="Times New Roman" w:cs="Times New Roman" w:eastAsia="Times New Roman" w:hAnsi="Times New Roman"/>
                <w:sz w:val="18"/>
                <w:szCs w:val="18"/>
                <w:color w:val="auto"/>
              </w:rPr>
              <w:t>7,554,121</w:t>
            </w:r>
          </w:p>
        </w:tc>
        <w:tc>
          <w:tcPr>
            <w:tcW w:w="620" w:type="dxa"/>
            <w:vAlign w:val="bottom"/>
            <w:shd w:val="clear" w:color="auto" w:fill="CFF3FD"/>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4</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By the following vote, the stockholders approved, the Stock Option Exchange Program for the Company’s non-executive employees:</w:t>
      </w:r>
    </w:p>
    <w:p>
      <w:pPr>
        <w:spacing w:after="0" w:line="221" w:lineRule="exact"/>
        <w:rPr>
          <w:sz w:val="20"/>
          <w:szCs w:val="20"/>
          <w:color w:val="auto"/>
        </w:rPr>
      </w:pPr>
    </w:p>
    <w:tbl>
      <w:tblPr>
        <w:tblLayout w:type="fixed"/>
        <w:tblInd w:w="760" w:type="dxa"/>
        <w:tblCellMar>
          <w:top w:w="0" w:type="dxa"/>
          <w:left w:w="0" w:type="dxa"/>
          <w:bottom w:w="0" w:type="dxa"/>
          <w:right w:w="0" w:type="dxa"/>
        </w:tblCellMar>
      </w:tblPr>
      <w:tr>
        <w:trPr>
          <w:trHeight w:val="161"/>
        </w:trPr>
        <w:tc>
          <w:tcPr>
            <w:tcW w:w="940" w:type="dxa"/>
            <w:vAlign w:val="bottom"/>
          </w:tcPr>
          <w:p>
            <w:pPr>
              <w:spacing w:after="0"/>
              <w:rPr>
                <w:sz w:val="13"/>
                <w:szCs w:val="13"/>
                <w:color w:val="auto"/>
              </w:rPr>
            </w:pPr>
          </w:p>
        </w:tc>
        <w:tc>
          <w:tcPr>
            <w:tcW w:w="1540" w:type="dxa"/>
            <w:vAlign w:val="bottom"/>
            <w:gridSpan w:val="2"/>
          </w:tcPr>
          <w:p>
            <w:pPr>
              <w:jc w:val="center"/>
              <w:ind w:right="940"/>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3240" w:type="dxa"/>
            <w:vAlign w:val="bottom"/>
            <w:gridSpan w:val="3"/>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Votes Against</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Votes Abstaining</w:t>
            </w:r>
          </w:p>
        </w:tc>
        <w:tc>
          <w:tcPr>
            <w:tcW w:w="1420" w:type="dxa"/>
            <w:vAlign w:val="bottom"/>
          </w:tcPr>
          <w:p>
            <w:pPr>
              <w:spacing w:after="0"/>
              <w:rPr>
                <w:sz w:val="13"/>
                <w:szCs w:val="13"/>
                <w:color w:val="auto"/>
              </w:rPr>
            </w:pPr>
          </w:p>
        </w:tc>
        <w:tc>
          <w:tcPr>
            <w:tcW w:w="180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10"/>
        </w:trPr>
        <w:tc>
          <w:tcPr>
            <w:tcW w:w="2480" w:type="dxa"/>
            <w:vAlign w:val="bottom"/>
            <w:gridSpan w:val="3"/>
            <w:shd w:val="clear" w:color="auto" w:fill="CFF3FD"/>
          </w:tcPr>
          <w:p>
            <w:pPr>
              <w:jc w:val="right"/>
              <w:ind w:right="820"/>
              <w:spacing w:after="0"/>
              <w:rPr>
                <w:sz w:val="20"/>
                <w:szCs w:val="20"/>
                <w:color w:val="auto"/>
              </w:rPr>
            </w:pPr>
            <w:r>
              <w:rPr>
                <w:rFonts w:ascii="Times New Roman" w:cs="Times New Roman" w:eastAsia="Times New Roman" w:hAnsi="Times New Roman"/>
                <w:sz w:val="18"/>
                <w:szCs w:val="18"/>
                <w:color w:val="auto"/>
              </w:rPr>
              <w:t>26,352,456</w:t>
            </w:r>
          </w:p>
        </w:tc>
        <w:tc>
          <w:tcPr>
            <w:tcW w:w="1680" w:type="dxa"/>
            <w:vAlign w:val="bottom"/>
            <w:gridSpan w:val="2"/>
            <w:shd w:val="clear" w:color="auto" w:fill="CFF3FD"/>
          </w:tcPr>
          <w:p>
            <w:pPr>
              <w:jc w:val="right"/>
              <w:ind w:right="60"/>
              <w:spacing w:after="0"/>
              <w:rPr>
                <w:sz w:val="20"/>
                <w:szCs w:val="20"/>
                <w:color w:val="auto"/>
              </w:rPr>
            </w:pPr>
            <w:r>
              <w:rPr>
                <w:rFonts w:ascii="Times New Roman" w:cs="Times New Roman" w:eastAsia="Times New Roman" w:hAnsi="Times New Roman"/>
                <w:sz w:val="18"/>
                <w:szCs w:val="18"/>
                <w:color w:val="auto"/>
              </w:rPr>
              <w:t>8,853,230</w:t>
            </w:r>
          </w:p>
        </w:tc>
        <w:tc>
          <w:tcPr>
            <w:tcW w:w="1560" w:type="dxa"/>
            <w:vAlign w:val="bottom"/>
            <w:shd w:val="clear" w:color="auto" w:fill="CFF3FD"/>
          </w:tcPr>
          <w:p>
            <w:pPr>
              <w:spacing w:after="0"/>
              <w:rPr>
                <w:sz w:val="18"/>
                <w:szCs w:val="18"/>
                <w:color w:val="auto"/>
              </w:rPr>
            </w:pPr>
          </w:p>
        </w:tc>
        <w:tc>
          <w:tcPr>
            <w:tcW w:w="1040" w:type="dxa"/>
            <w:vAlign w:val="bottom"/>
            <w:shd w:val="clear" w:color="auto" w:fill="CFF3FD"/>
          </w:tcPr>
          <w:p>
            <w:pPr>
              <w:jc w:val="right"/>
              <w:ind w:right="199"/>
              <w:spacing w:after="0"/>
              <w:rPr>
                <w:sz w:val="20"/>
                <w:szCs w:val="20"/>
                <w:color w:val="auto"/>
              </w:rPr>
            </w:pPr>
            <w:r>
              <w:rPr>
                <w:rFonts w:ascii="Times New Roman" w:cs="Times New Roman" w:eastAsia="Times New Roman" w:hAnsi="Times New Roman"/>
                <w:sz w:val="18"/>
                <w:szCs w:val="18"/>
                <w:color w:val="auto"/>
              </w:rPr>
              <w:t>59,076</w:t>
            </w:r>
          </w:p>
        </w:tc>
        <w:tc>
          <w:tcPr>
            <w:tcW w:w="2540" w:type="dxa"/>
            <w:vAlign w:val="bottom"/>
            <w:gridSpan w:val="2"/>
            <w:shd w:val="clear" w:color="auto" w:fill="CFF3FD"/>
          </w:tcPr>
          <w:p>
            <w:pPr>
              <w:jc w:val="right"/>
              <w:ind w:right="128"/>
              <w:spacing w:after="0"/>
              <w:rPr>
                <w:sz w:val="20"/>
                <w:szCs w:val="20"/>
                <w:color w:val="auto"/>
              </w:rPr>
            </w:pPr>
            <w:r>
              <w:rPr>
                <w:rFonts w:ascii="Times New Roman" w:cs="Times New Roman" w:eastAsia="Times New Roman" w:hAnsi="Times New Roman"/>
                <w:sz w:val="18"/>
                <w:szCs w:val="18"/>
                <w:color w:val="auto"/>
              </w:rPr>
              <w:t>7,554,121</w:t>
            </w:r>
          </w:p>
        </w:tc>
        <w:tc>
          <w:tcPr>
            <w:tcW w:w="680" w:type="dxa"/>
            <w:vAlign w:val="bottom"/>
            <w:shd w:val="clear" w:color="auto" w:fill="CFF3FD"/>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5</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By the following vote, the stockholders did not approve, a Stock Option Exchange Program for the Company’s executive employees:</w:t>
      </w:r>
    </w:p>
    <w:p>
      <w:pPr>
        <w:spacing w:after="0" w:line="221" w:lineRule="exact"/>
        <w:rPr>
          <w:sz w:val="20"/>
          <w:szCs w:val="20"/>
          <w:color w:val="auto"/>
        </w:rPr>
      </w:pPr>
    </w:p>
    <w:tbl>
      <w:tblPr>
        <w:tblLayout w:type="fixed"/>
        <w:tblInd w:w="760" w:type="dxa"/>
        <w:tblCellMar>
          <w:top w:w="0" w:type="dxa"/>
          <w:left w:w="0" w:type="dxa"/>
          <w:bottom w:w="0" w:type="dxa"/>
          <w:right w:w="0" w:type="dxa"/>
        </w:tblCellMar>
      </w:tblPr>
      <w:tr>
        <w:trPr>
          <w:trHeight w:val="161"/>
        </w:trPr>
        <w:tc>
          <w:tcPr>
            <w:tcW w:w="1040" w:type="dxa"/>
            <w:vAlign w:val="bottom"/>
          </w:tcPr>
          <w:p>
            <w:pPr>
              <w:spacing w:after="0"/>
              <w:rPr>
                <w:sz w:val="13"/>
                <w:szCs w:val="13"/>
                <w:color w:val="auto"/>
              </w:rPr>
            </w:pPr>
          </w:p>
        </w:tc>
        <w:tc>
          <w:tcPr>
            <w:tcW w:w="1580" w:type="dxa"/>
            <w:vAlign w:val="bottom"/>
            <w:gridSpan w:val="2"/>
          </w:tcPr>
          <w:p>
            <w:pPr>
              <w:jc w:val="center"/>
              <w:ind w:right="980"/>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3260" w:type="dxa"/>
            <w:vAlign w:val="bottom"/>
            <w:gridSpan w:val="3"/>
          </w:tcPr>
          <w:p>
            <w:pPr>
              <w:ind w:left="880"/>
              <w:spacing w:after="0"/>
              <w:rPr>
                <w:sz w:val="20"/>
                <w:szCs w:val="20"/>
                <w:color w:val="auto"/>
              </w:rPr>
            </w:pPr>
            <w:r>
              <w:rPr>
                <w:rFonts w:ascii="Times New Roman" w:cs="Times New Roman" w:eastAsia="Times New Roman" w:hAnsi="Times New Roman"/>
                <w:sz w:val="14"/>
                <w:szCs w:val="14"/>
                <w:b w:val="1"/>
                <w:bCs w:val="1"/>
                <w:color w:val="auto"/>
              </w:rPr>
              <w:t>Votes Against</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Votes Abstaining</w:t>
            </w:r>
          </w:p>
        </w:tc>
        <w:tc>
          <w:tcPr>
            <w:tcW w:w="3060" w:type="dxa"/>
            <w:vAlign w:val="bottom"/>
            <w:gridSpan w:val="3"/>
          </w:tcPr>
          <w:p>
            <w:pPr>
              <w:jc w:val="center"/>
              <w:ind w:left="659"/>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0"/>
        </w:trPr>
        <w:tc>
          <w:tcPr>
            <w:tcW w:w="10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10"/>
        </w:trPr>
        <w:tc>
          <w:tcPr>
            <w:tcW w:w="2620" w:type="dxa"/>
            <w:vAlign w:val="bottom"/>
            <w:gridSpan w:val="3"/>
            <w:shd w:val="clear" w:color="auto" w:fill="CFF3FD"/>
          </w:tcPr>
          <w:p>
            <w:pPr>
              <w:jc w:val="right"/>
              <w:ind w:right="860"/>
              <w:spacing w:after="0"/>
              <w:rPr>
                <w:sz w:val="20"/>
                <w:szCs w:val="20"/>
                <w:color w:val="auto"/>
              </w:rPr>
            </w:pPr>
            <w:r>
              <w:rPr>
                <w:rFonts w:ascii="Times New Roman" w:cs="Times New Roman" w:eastAsia="Times New Roman" w:hAnsi="Times New Roman"/>
                <w:sz w:val="18"/>
                <w:szCs w:val="18"/>
                <w:color w:val="auto"/>
              </w:rPr>
              <w:t>14,097,815</w:t>
            </w:r>
          </w:p>
        </w:tc>
        <w:tc>
          <w:tcPr>
            <w:tcW w:w="1740" w:type="dxa"/>
            <w:vAlign w:val="bottom"/>
            <w:gridSpan w:val="2"/>
            <w:shd w:val="clear" w:color="auto" w:fill="CFF3FD"/>
          </w:tcPr>
          <w:p>
            <w:pPr>
              <w:ind w:left="900"/>
              <w:spacing w:after="0"/>
              <w:rPr>
                <w:sz w:val="20"/>
                <w:szCs w:val="20"/>
                <w:color w:val="auto"/>
              </w:rPr>
            </w:pPr>
            <w:r>
              <w:rPr>
                <w:rFonts w:ascii="Times New Roman" w:cs="Times New Roman" w:eastAsia="Times New Roman" w:hAnsi="Times New Roman"/>
                <w:sz w:val="18"/>
                <w:szCs w:val="18"/>
                <w:color w:val="auto"/>
              </w:rPr>
              <w:t>21,021,531</w:t>
            </w:r>
          </w:p>
        </w:tc>
        <w:tc>
          <w:tcPr>
            <w:tcW w:w="1520" w:type="dxa"/>
            <w:vAlign w:val="bottom"/>
            <w:shd w:val="clear" w:color="auto" w:fill="CFF3FD"/>
          </w:tcPr>
          <w:p>
            <w:pPr>
              <w:spacing w:after="0"/>
              <w:rPr>
                <w:sz w:val="18"/>
                <w:szCs w:val="18"/>
                <w:color w:val="auto"/>
              </w:rPr>
            </w:pPr>
          </w:p>
        </w:tc>
        <w:tc>
          <w:tcPr>
            <w:tcW w:w="1040" w:type="dxa"/>
            <w:vAlign w:val="bottom"/>
            <w:shd w:val="clear" w:color="auto" w:fill="CFF3FD"/>
          </w:tcPr>
          <w:p>
            <w:pPr>
              <w:jc w:val="right"/>
              <w:ind w:right="139"/>
              <w:spacing w:after="0"/>
              <w:rPr>
                <w:sz w:val="20"/>
                <w:szCs w:val="20"/>
                <w:color w:val="auto"/>
              </w:rPr>
            </w:pPr>
            <w:r>
              <w:rPr>
                <w:rFonts w:ascii="Times New Roman" w:cs="Times New Roman" w:eastAsia="Times New Roman" w:hAnsi="Times New Roman"/>
                <w:sz w:val="18"/>
                <w:szCs w:val="18"/>
                <w:color w:val="auto"/>
              </w:rPr>
              <w:t>145,416</w:t>
            </w:r>
          </w:p>
        </w:tc>
        <w:tc>
          <w:tcPr>
            <w:tcW w:w="2460" w:type="dxa"/>
            <w:vAlign w:val="bottom"/>
            <w:gridSpan w:val="2"/>
            <w:shd w:val="clear" w:color="auto" w:fill="CFF3FD"/>
          </w:tcPr>
          <w:p>
            <w:pPr>
              <w:jc w:val="right"/>
              <w:ind w:right="200"/>
              <w:spacing w:after="0"/>
              <w:rPr>
                <w:sz w:val="20"/>
                <w:szCs w:val="20"/>
                <w:color w:val="auto"/>
              </w:rPr>
            </w:pPr>
            <w:r>
              <w:rPr>
                <w:rFonts w:ascii="Times New Roman" w:cs="Times New Roman" w:eastAsia="Times New Roman" w:hAnsi="Times New Roman"/>
                <w:sz w:val="18"/>
                <w:szCs w:val="18"/>
                <w:color w:val="auto"/>
              </w:rPr>
              <w:t>7,554,121</w:t>
            </w:r>
          </w:p>
        </w:tc>
        <w:tc>
          <w:tcPr>
            <w:tcW w:w="600" w:type="dxa"/>
            <w:vAlign w:val="bottom"/>
            <w:shd w:val="clear" w:color="auto" w:fill="CFF3FD"/>
          </w:tcPr>
          <w:p>
            <w:pPr>
              <w:spacing w:after="0"/>
              <w:rPr>
                <w:sz w:val="18"/>
                <w:szCs w:val="18"/>
                <w:color w:val="auto"/>
              </w:rPr>
            </w:pPr>
          </w:p>
        </w:tc>
      </w:tr>
    </w:tbl>
    <w:p>
      <w:pPr>
        <w:spacing w:after="0" w:line="19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 description of the terms and conditions of the Stock Option Exchange Program was previously reported in the Proxy Statement.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21"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On June 3, 2026, the Company commenced a Stock Option Exchange Program for non-executive employees that was approved by shareholders at the Annual Meeting. The exchange offer period will commence on June 3, 2026 and, unless extended, will conclude on July 1, 2026.</w:t>
      </w:r>
    </w:p>
    <w:p>
      <w:pPr>
        <w:spacing w:after="0" w:line="162"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Under the program, eligible participants will be able to exchange outstanding stock options granted under the Company’s 2015 Equity Incentive Plan that have an exercise price at or above $18.00, for a reduced number of stock options at a per share exercise price equal to the fair market value of the Company’s common stock on the grant date of the new options, which is expected to be the first business day following the expiration of the exchange offer. The exchange program is not expected to result in a significant change to the Company’s stock compensation expense.</w:t>
      </w:r>
    </w:p>
    <w:p>
      <w:pPr>
        <w:spacing w:after="0" w:line="180"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For more information, please refer to the Proxy Statement and the Tender Offer Statement that the Company expects to file with the Securities and Exchange Commission on June 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855980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REGENXBIO INC.</w:t>
      </w:r>
    </w:p>
    <w:p>
      <w:pPr>
        <w:spacing w:after="0" w:line="378"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June 3,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Patrick J. Christmas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Patrick J. Christmas II</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Executive Vice President, Chief Strategy &amp; Legal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2026-06-03T06:31:39Z</dcterms:created>
  <dcterms:modified xsi:type="dcterms:W3CDTF">2026-06-03T06:31:39Z</dcterms:modified>
</cp:coreProperties>
</file>