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Yoo Stephen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09/16/2015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REGENXBIO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RGNX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REGENXBIO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9712 MEDICAL CENTER DRIVE,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ROCKVILLE MD</w:t>
            </w:r>
          </w:p>
        </w:tc>
        <w:tc>
          <w:tcPr>
            <w:tcW w:w="820" w:type="dxa"/>
            <w:vAlign w:val="bottom"/>
          </w:tcPr>
          <w:p>
            <w:pPr>
              <w:jc w:val="right"/>
              <w:spacing w:after="0"/>
              <w:rPr>
                <w:sz w:val="20"/>
                <w:szCs w:val="20"/>
                <w:color w:val="auto"/>
              </w:rPr>
            </w:pPr>
            <w:r>
              <w:rPr>
                <w:rFonts w:ascii="Arial" w:cs="Arial" w:eastAsia="Arial" w:hAnsi="Arial"/>
                <w:sz w:val="18"/>
                <w:szCs w:val="18"/>
                <w:color w:val="0000FF"/>
              </w:rPr>
              <w:t>20850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Chief Medical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11/03/2024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7"/>
              <w:spacing w:after="0"/>
              <w:rPr>
                <w:sz w:val="20"/>
                <w:szCs w:val="20"/>
                <w:color w:val="auto"/>
              </w:rPr>
            </w:pPr>
            <w:r>
              <w:rPr>
                <w:rFonts w:ascii="Arial" w:cs="Arial" w:eastAsia="Arial" w:hAnsi="Arial"/>
                <w:sz w:val="18"/>
                <w:szCs w:val="18"/>
                <w:color w:val="0000FF"/>
              </w:rPr>
              <w:t>247,900</w:t>
            </w:r>
          </w:p>
        </w:tc>
        <w:tc>
          <w:tcPr>
            <w:tcW w:w="880" w:type="dxa"/>
            <w:vAlign w:val="bottom"/>
          </w:tcPr>
          <w:p>
            <w:pPr>
              <w:ind w:left="280"/>
              <w:spacing w:after="0"/>
              <w:rPr>
                <w:sz w:val="20"/>
                <w:szCs w:val="20"/>
                <w:color w:val="auto"/>
              </w:rPr>
            </w:pPr>
            <w:r>
              <w:rPr>
                <w:rFonts w:ascii="Arial" w:cs="Arial" w:eastAsia="Arial" w:hAnsi="Arial"/>
                <w:sz w:val="18"/>
                <w:szCs w:val="18"/>
                <w:color w:val="0000FF"/>
              </w:rPr>
              <w:t>0.85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Stock Option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05/19/2025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right"/>
              <w:ind w:right="47"/>
              <w:spacing w:after="0"/>
              <w:rPr>
                <w:sz w:val="20"/>
                <w:szCs w:val="20"/>
                <w:color w:val="auto"/>
              </w:rPr>
            </w:pPr>
            <w:r>
              <w:rPr>
                <w:rFonts w:ascii="Arial" w:cs="Arial" w:eastAsia="Arial" w:hAnsi="Arial"/>
                <w:sz w:val="18"/>
                <w:szCs w:val="18"/>
                <w:color w:val="0000FF"/>
              </w:rPr>
              <w:t>70,000</w:t>
            </w:r>
          </w:p>
        </w:tc>
        <w:tc>
          <w:tcPr>
            <w:tcW w:w="880" w:type="dxa"/>
            <w:vAlign w:val="bottom"/>
          </w:tcPr>
          <w:p>
            <w:pPr>
              <w:ind w:left="280"/>
              <w:spacing w:after="0"/>
              <w:rPr>
                <w:sz w:val="20"/>
                <w:szCs w:val="20"/>
                <w:color w:val="auto"/>
              </w:rPr>
            </w:pPr>
            <w:r>
              <w:rPr>
                <w:rFonts w:ascii="Arial" w:cs="Arial" w:eastAsia="Arial" w:hAnsi="Arial"/>
                <w:sz w:val="18"/>
                <w:szCs w:val="18"/>
                <w:color w:val="0000FF"/>
              </w:rPr>
              <w:t>3.76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165,200 of the shares subject to the option shall be initial shares ("Initial Shares") and 82,700 of the shares subject to the option shall be contingent shares ("Contingent Shares"). 23,600 of the Initial Shares vested on October 13, 2014. Upon one year of continuous service to the Company after October 13, 2014, an additional 35,400 of the Initial Shares shall vest and an additional 2,950 of the Initial Shares shall vest upon each month of continuous service to the Company thereafter. 15% of the Contingent Shares were deemed vested as of October 13, 2014 on January 13, 2015 due to a subsequent event. The remainder of the Contingent Shares shall vest over four years of service following October 13, 2014, with 25% of the remaining 85% of Contingent Shares vesting upon one year of continuous service to the Company after October 13, 2014 and the remaining Contingent Shares vesting in 36 equal monthly installments thereafter.</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over four years of service following May 19, 2015, with 25% vesting upon completion of one year of service and in 36 equal monthly installments thereafter.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0000FF"/>
                <w:w w:val="85"/>
              </w:rPr>
              <w:t>/s/ Stephen Yoo</w:t>
            </w:r>
          </w:p>
        </w:tc>
        <w:tc>
          <w:tcPr>
            <w:tcW w:w="10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09/16/2015</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2825" TargetMode="External"/><Relationship Id="rId12"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2019-12-09T03:31:38Z</dcterms:created>
  <dcterms:modified xsi:type="dcterms:W3CDTF">2019-12-09T03:31:38Z</dcterms:modified>
</cp:coreProperties>
</file>