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3519d424b5.htm"/>
        <w:bookmarkStart w:id="1" w:name="ksd13351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Registration No. 333-291816</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December 12,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10814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91200" cy="108140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8"/>
        </w:rPr>
      </w:pPr>
      <w:r>
        <w:rPr>
          <w:rFonts w:ascii="Times New Roman" w:hAnsi="Times New Roman"/>
          <w:b/>
          <w:sz w:val="28"/>
        </w:rPr>
        <w:t xml:space="preserve">10,003,889 Shares of Common Stock </w:t>
      </w:r>
    </w:p>
    <w:p>
      <w:pPr>
        <w:pStyle w:val="TextBody"/>
        <w:bidi w:val="0"/>
        <w:spacing w:before="200" w:after="0"/>
        <w:jc w:val="center"/>
        <w:rPr>
          <w:rFonts w:ascii="Times New Roman" w:hAnsi="Times New Roman"/>
          <w:b/>
          <w:sz w:val="28"/>
        </w:rPr>
      </w:pPr>
      <w:r>
        <w:rPr>
          <w:rFonts w:ascii="Times New Roman" w:hAnsi="Times New Roman"/>
          <w:b/>
          <w:sz w:val="28"/>
        </w:rPr>
        <w:t xml:space="preserve">1,111,111 Pre-funded Warrants to Purchase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b/>
          <w:sz w:val="20"/>
        </w:rPr>
      </w:pPr>
      <w:r>
        <w:rPr>
          <w:rFonts w:ascii="Times New Roman" w:hAnsi="Times New Roman"/>
          <w:b/>
          <w:sz w:val="20"/>
        </w:rPr>
        <w:t xml:space="preserve">We are offering 10,003,889 shares of our common stock and, in lieu of common stock to certain investors, 1,111,111 pre-funded warrants to purchase shares of our common stock, with an aggregate public offering price of approximately $100,034,889 pursuant to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The purchase price of each pre-funded warrant equals the price per share at which shares of our common stock are being sold to the public in this offering, minus $0.0001, which is the exercise price of each pre-funded warrant. Our common stock is listed for trading on The Nasdaq Global Select Market (“Nasdaq”) under the symbol “RGNX.” On July 16, 2026, the closing sales price of our common stock on Nasdaq was $11.20 per share. We do not intend to list the pre-funded warrants on Nasdaq, any other national securities exchange or any other nationally recognized trading system. There is no established trading market for the pre-funded warrants, and we do not expect a market to develop.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We are a “smaller reporting company” under applicable Securities and Exchange Commission (“SEC”) rules and, as such, have elected to comply with certain reduced public company disclosure requirements in this prospectus supplement and future filings that we make with the SEC. </w:t>
      </w:r>
    </w:p>
    <w:p>
      <w:pPr>
        <w:pStyle w:val="TextBody"/>
        <w:bidi w:val="0"/>
        <w:spacing w:before="200" w:after="0"/>
        <w:jc w:val="left"/>
        <w:rPr/>
      </w:pPr>
      <w:r>
        <w:rPr>
          <w:rFonts w:ascii="Times New Roman" w:hAnsi="Times New Roman"/>
          <w:b/>
          <w:sz w:val="24"/>
        </w:rPr>
        <w:t>Investing in our common stock and pre-funded warrants involves significant risks. Please carefully consider the risks discussed in “</w:t>
      </w:r>
      <w:hyperlink w:anchor="s133519_5">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in our filings with the SEC that are incorporated by reference into this prospectus supplement before making a decision to invest in our common stock and pre-funded 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51"/>
        <w:gridCol w:w="367"/>
        <w:gridCol w:w="255"/>
        <w:gridCol w:w="834"/>
        <w:gridCol w:w="60"/>
        <w:gridCol w:w="367"/>
        <w:gridCol w:w="273"/>
        <w:gridCol w:w="1410"/>
        <w:gridCol w:w="60"/>
        <w:gridCol w:w="367"/>
        <w:gridCol w:w="140"/>
        <w:gridCol w:w="1321"/>
        <w:gridCol w:w="67"/>
      </w:tblGrid>
      <w:tr>
        <w:trPr/>
        <w:tc>
          <w:tcPr>
            <w:tcW w:w="3051"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051"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6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8.9999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100,034,889</w:t>
            </w:r>
          </w:p>
        </w:tc>
        <w:tc>
          <w:tcPr>
            <w:tcW w:w="67" w:type="dxa"/>
            <w:tcBorders/>
            <w:shd w:fill="CCEEFF" w:val="clear"/>
            <w:vAlign w:val="bottom"/>
          </w:tcPr>
          <w:p>
            <w:pPr>
              <w:pStyle w:val="TableContents"/>
              <w:bidi w:val="0"/>
              <w:spacing w:before="0" w:after="283"/>
              <w:jc w:val="left"/>
              <w:rPr/>
            </w:pPr>
            <w:r>
              <w:rPr/>
              <w:t> </w:t>
            </w:r>
          </w:p>
        </w:tc>
      </w:tr>
      <w:tr>
        <w:trPr/>
        <w:tc>
          <w:tcPr>
            <w:tcW w:w="305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0.54</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410" w:type="dxa"/>
            <w:tcBorders/>
            <w:vAlign w:val="bottom"/>
          </w:tcPr>
          <w:p>
            <w:pPr>
              <w:pStyle w:val="TableContents"/>
              <w:bidi w:val="0"/>
              <w:spacing w:before="0" w:after="283"/>
              <w:jc w:val="right"/>
              <w:rPr/>
            </w:pPr>
            <w:r>
              <w:rPr/>
              <w:t>0.5400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6,002,100</w:t>
            </w:r>
          </w:p>
        </w:tc>
        <w:tc>
          <w:tcPr>
            <w:tcW w:w="67" w:type="dxa"/>
            <w:tcBorders/>
            <w:vAlign w:val="bottom"/>
          </w:tcPr>
          <w:p>
            <w:pPr>
              <w:pStyle w:val="TableContents"/>
              <w:bidi w:val="0"/>
              <w:spacing w:before="0" w:after="283"/>
              <w:jc w:val="left"/>
              <w:rPr/>
            </w:pPr>
            <w:r>
              <w:rPr/>
              <w:t> </w:t>
            </w:r>
          </w:p>
        </w:tc>
      </w:tr>
      <w:tr>
        <w:trPr/>
        <w:tc>
          <w:tcPr>
            <w:tcW w:w="3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8.46</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8.4599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94,032,789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agreed to reimburse the underwriters for certain FINRA-related offering expenses. See “Underwriting.”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to purchase up to an additional 1,667,250 shares of our common stock with an aggregate public offering price of approximately $15,005,250 at the public offering price, less the underwriting discount, within 30 days from the date of this prospectus supplement.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200" w:after="0"/>
        <w:jc w:val="left"/>
        <w:rPr>
          <w:rFonts w:ascii="Times New Roman" w:hAnsi="Times New Roman"/>
          <w:sz w:val="20"/>
        </w:rPr>
      </w:pPr>
      <w:r>
        <w:rPr>
          <w:rFonts w:ascii="Times New Roman" w:hAnsi="Times New Roman"/>
          <w:sz w:val="20"/>
        </w:rPr>
        <w:t xml:space="preserve">The underwriters expect to deliver the shares of common stock and pre-funded warrants against payment therefor on or about July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8"/>
        </w:rPr>
      </w:pPr>
      <w:r>
        <w:rPr>
          <w:rFonts w:ascii="Times New Roman" w:hAnsi="Times New Roman"/>
          <w:b/>
          <w:sz w:val="28"/>
        </w:rPr>
        <w:t xml:space="preserve">Morgan Stanley   J.P. Morgan   Leerink Partners   Mizuho </w:t>
      </w:r>
    </w:p>
    <w:p>
      <w:pPr>
        <w:pStyle w:val="TextBody"/>
        <w:bidi w:val="0"/>
        <w:spacing w:before="200" w:after="0"/>
        <w:jc w:val="center"/>
        <w:rPr>
          <w:rFonts w:ascii="Times New Roman" w:hAnsi="Times New Roman"/>
          <w:b/>
          <w:sz w:val="20"/>
        </w:rPr>
      </w:pPr>
      <w:r>
        <w:rPr>
          <w:rFonts w:ascii="Times New Roman" w:hAnsi="Times New Roman"/>
          <w:b/>
          <w:sz w:val="20"/>
        </w:rPr>
        <w:t xml:space="preserve">The date of this prospectus supplement is July 16,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b/>
              </w:rPr>
            </w:pPr>
            <w:r>
              <w:rPr>
                <w:b/>
              </w:rPr>
              <w:t>Prospectus Supplement</w:t>
            </w:r>
          </w:p>
        </w:tc>
        <w:tc>
          <w:tcPr>
            <w:tcW w:w="62" w:type="dxa"/>
            <w:tcBorders/>
          </w:tcPr>
          <w:p>
            <w:pPr>
              <w:pStyle w:val="TableContents"/>
              <w:bidi w:val="0"/>
              <w:spacing w:before="0" w:after="0"/>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2">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3">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4">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7">
              <w:r>
                <w:rPr>
                  <w:rStyle w:val="InternetLink"/>
                  <w:rFonts w:ascii="Times New Roman" w:hAnsi="Times New Roman"/>
                  <w:sz w:val="20"/>
                </w:rPr>
                <w:t>Dilution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7a">
              <w:r>
                <w:rPr>
                  <w:rStyle w:val="InternetLink"/>
                  <w:rFonts w:ascii="Times New Roman" w:hAnsi="Times New Roman"/>
                  <w:sz w:val="20"/>
                </w:rPr>
                <w:t>Description of Pre-funded Warrants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8">
              <w:r>
                <w:rPr>
                  <w:rStyle w:val="InternetLink"/>
                  <w:rFonts w:ascii="Times New Roman" w:hAnsi="Times New Roman"/>
                  <w:sz w:val="20"/>
                </w:rPr>
                <w:t>Material U.S. Federal Income Tax Considerations for Non-U.S. Holders of Common Stock</w:t>
              </w:r>
            </w:hyperlink>
            <w:r>
              <w:rPr>
                <w:rFonts w:ascii="Times New Roman" w:hAnsi="Times New Roman"/>
                <w:sz w:val="20"/>
              </w:rPr>
              <w:t xml:space="preserve"> and Pre-funded Warrants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9">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0">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1">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3">
              <w:r>
                <w:rPr>
                  <w:rStyle w:val="InternetLink"/>
                  <w:rFonts w:ascii="Times New Roman" w:hAnsi="Times New Roman"/>
                  <w:sz w:val="20"/>
                </w:rPr>
                <w:t>Incorporation of Documents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b/>
              </w:rPr>
            </w:pPr>
            <w:r>
              <w:rPr>
                <w:b/>
              </w:rPr>
              <w:t>Prospectus</w:t>
            </w:r>
          </w:p>
        </w:tc>
        <w:tc>
          <w:tcPr>
            <w:tcW w:w="62" w:type="dxa"/>
            <w:tcBorders/>
          </w:tcPr>
          <w:p>
            <w:pPr>
              <w:pStyle w:val="TableContents"/>
              <w:bidi w:val="0"/>
              <w:spacing w:before="0" w:after="0"/>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2">
              <w:r>
                <w:rPr>
                  <w:rStyle w:val="InternetLink"/>
                  <w:rFonts w:ascii="Times New Roman" w:hAnsi="Times New Roman"/>
                  <w:sz w:val="20"/>
                </w:rPr>
                <w:t>About this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3">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4">
              <w:r>
                <w:rPr>
                  <w:rStyle w:val="InternetLink"/>
                  <w:rFonts w:ascii="Times New Roman" w:hAnsi="Times New Roman"/>
                  <w:sz w:val="20"/>
                </w:rPr>
                <w:t>The Company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7">
              <w:r>
                <w:rPr>
                  <w:rStyle w:val="InternetLink"/>
                  <w:rFonts w:ascii="Times New Roman" w:hAnsi="Times New Roman"/>
                  <w:sz w:val="20"/>
                </w:rPr>
                <w:t>Description of Capital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8">
              <w:r>
                <w:rPr>
                  <w:rStyle w:val="InternetLink"/>
                  <w:rFonts w:ascii="Times New Roman" w:hAnsi="Times New Roman"/>
                  <w:sz w:val="20"/>
                </w:rPr>
                <w:t>Description of Warrants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9">
              <w:r>
                <w:rPr>
                  <w:rStyle w:val="InternetLink"/>
                  <w:rFonts w:ascii="Times New Roman" w:hAnsi="Times New Roman"/>
                  <w:sz w:val="20"/>
                </w:rPr>
                <w:t>Description of Debt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0">
              <w:r>
                <w:rPr>
                  <w:rStyle w:val="InternetLink"/>
                  <w:rFonts w:ascii="Times New Roman" w:hAnsi="Times New Roman"/>
                  <w:sz w:val="20"/>
                </w:rPr>
                <w:t>Description of Rights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1">
              <w:r>
                <w:rPr>
                  <w:rStyle w:val="InternetLink"/>
                  <w:rFonts w:ascii="Times New Roman" w:hAnsi="Times New Roman"/>
                  <w:sz w:val="20"/>
                </w:rPr>
                <w:t>Description of Units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2">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3">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4">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13351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pre-funded warrants and updates the information contained in the accompanying prospectus and the documents incorporated by reference herein and therein. The second part is the accompanying prospectus, which provides more general information about securities that we may offer from time to time, some of which does not apply to this offering. To the extent the information contained in this prospectus supplement differs or varies from the information contained in the accompanying prospectus or documents previously filed with the SEC that are incorporated by reference herein, the information in this prospectus supplement will supersede such information. For a more detailed understanding of an investment in our common stock and pre-funded warrants, you should read both this prospectus supplement and the accompanying prospectus, together with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shelf registration statement on Form S-3 (File No. 333-291816) that we filed with the SEC on November 26, 2025 and that became effective on December 12, 2025. Under the shelf registration process, we may from time to time offer and sell any combination of the securities described in the accompanying prospectus in one or more offerings.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underwriters have authorized anyone to provide you with information that is different from or in addition to that contained or incorporated by reference in this prospectus supplement, the accompanying prospectus or any free writing prospectus prepared by us or on our behalf. Neither we nor the underwriters take any responsibility for, and can provide no assurance as to the reliability of, any information that others may provide. Neither we nor the underwriters are making an offer to sell or soliciting an offer to buy shares of our common stock or pre-funded warrants under any circumstance in any jurisdiction where the offer or solicitation is not permitted. You should not assume that the information contained in this prospectus supplement, the accompanying prospectus and any free writing prospectus is accurate as of any date other than the respective date of each of those documents, or that any information in documents that we have incorporated by reference is accurate as of any date other than the date of the document incorporated by reference, regardless of the time of delivery of this prospectus supplement or any sale of shares of our common stock or pre-funded warrants hereunder. Our business, financial condition, results of operations and prospects may have changed, potentially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includes trademarks, service marks and trade names owned by us or other companies. AAVIATE, ASCENT, AFFINITY, AFFINITY BEYOND, AFFINITY DUCHENNE, ALTITUDE, ATMOSPHERE, CAMPSIITE, NAV, NAVXpress, NAVXcell, REGENXBIO and the REGENXBIO logos are our registered trademarks. All trademarks, service marks and trade names included or incorporated by reference into this prospectus supplement or the accompanying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in this prospectus supplement and the accompanying prospectus the terms “REGENXBIO,” the “Company,” “we,” “us,” and “our” refer to REGENXBIO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13351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contain “forward-looking statements” within the meaning of Section 27A of the Securities Act of 1933, as amended, or the Securities Act, and Section 21E of the Securities Exchange Act of 1934, as amended, or the Exchange Act, which are subject to the safe harbor created by those sections for such statements.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development partnerships, including our collaboration with AbbVie to develop and commercialize surabgene lomparvovec (sura-vec, ABBV-RGX-314) and our collaboration with Nippon Shinyaku Co., Ltd. to develop and commercialize RGX-121 (clemidsogene lanparvovec) and RGX-111;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including under accelerated approval, and maintain regulatory approval of our product candidates and the labeling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address any deficiencies raised by the FDA regarding RGX-121 as part of the Complete Response Letter or planned BLA resubmission;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resolve the partial clinical hold for RGX-111 to the satisfaction of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enrollment, commencement, completion and the success of our AAVIATE®, AFFINITY BEYOND®, AFFINITY DUCHENNE®, ALTITUDE®, ASCENT®, ATMOSPHERE®, CAMPSIITE®, NAAVIGATE and other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and completion and the success of preclinical studies conducted by us and our development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timely development and launch of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expansion and costs of developing and commercializing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product candidates and technology, and defend against third-party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and commercialization of product candidates currently being developed by third parties that utilize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trends and challenges in our business and the market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or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our product candidates and the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any of our products that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expenses and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need for additional financing and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outcome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government-imposed tariffs or other trade barriers on cost of goods and services, particularly related to partnered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markets and banking system that may affect the availability and terms on which we may obtain financing and our ability to accurately predict how long our existing cash resources will be sufficient to fund our anticipated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the information incorporated herein and therein by reference, particularly in the sections of such documents titled “Risk Factors” and “Management’s Discussion and Analysis of Financial Condition and Results of Operations,” and the documents that have been filed as exhibits to the registration statement of which this prospectus supplement is a part completely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Any forward-looking statement in this prospectus supplement, the accompanying prospectus, and the information incorporated herein and therein by reference speaks only as of the date of the respective document. Except as required by law, we disclaim any duty to update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133519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the accompanying prospectus, and the documents that are incorporated herein and therein by reference. This summary does not contain all of the information you should consider before making an investment decision. Before you decide to invest in our securities, you should read the entire prospectus supplement, the accompanying prospectus and the documents incorporated herein and therein carefully, including the risk factors and the financial statements and related notes contained in our Annual Report on Form 10-K for the year ended December 31, 2025 and in our Quarterly Report on Form 10-Q for the period ended March 31,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Pipeline Candidates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developed a broad pipeline of gene therapy programs using our proprietary adeno-associated virus (“AAV”) gene therapy delivery platform (“NAV Technology Platform”) as a one-time treatment to address an array of diseases. Our lead programs and product candidates are described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RGX-202</w:t>
            </w:r>
            <w:r>
              <w:rPr>
                <w:rFonts w:ascii="Times New Roman" w:hAnsi="Times New Roman"/>
                <w:sz w:val="20"/>
              </w:rPr>
              <w:t xml:space="preserve">: We are developing RGX-202 as an investigational one-time AAV therapeutic for the treatment of Duchenne muscular dystrophy (“Duchenne”), using the NAV AAV8 vector to deliver a transgene for a novel microdystrophin that includes the functional elements of the C-Terminal (CT) domain as well as a muscle-specific promoter to support a targeted therapy for improved resistance to muscle damage associated with Duchenne.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AFFINITY DUCHENNE® is a Phase I/II/III ongoing multicenter, open-label dose escalation and dose expansion clinical study to evaluate the safety, tolerability and clinical efficacy of a one-time intravenous (IV) dose of RGX-202 in patients with Duchenne aged 1 to 11 years old. The pivotal phase of the trial, evaluating dose level 2, is fully enrolled (n=30).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2026, we announced positive topline results from the pivotal Phase III AFFINITY DUCHENNE trial of RGX-202, including primary endpoint (n=30 at Week 12), interim safety (n=31) and interim functional data (n=9 at 12 months):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endpoint was achieved with high statistical significance; 93% of patients achieved RGX-202 microdystrophin expression above 10%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RGX-202 was well-tolerated and continued to demonstrate a favorable interim safety profile.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RGX-202 demonstrated functional improvement and evidence of positively impacting disease trajectory at one year post-treatment, as measured by the North Star Ambulatory Assessment and timed function tests (Time to Stand, 10 Meter Walk-run, Time to Climb).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Statistically significant correlation between RGX-202 microdystrophin expression level and functional improvement, supporting validity of surrogate endpoint.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we announced the completion of dosing in the confirmatory study of RGX-202.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filing a biologics license application (“BLA”) using the accelerated approval pathway in the third quarter of 2026 for potential approval by the FDA in the second half of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recruiting patients in the AFFINITY BEYOND® trial, an observational screening study. The primary objective is to evaluate the prevalence of AAV8 antibodies in patients with Duchenne up to 12 years of age. Information collected in this study may be used to identify potential participants for the AFFINITY DUCHENNE trial and potential future trials of RGX-202.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RGX-202 is manufactured using our proprietary, high-yielding NAVXpress® platform process. This suspension-based manufacturing process has demonstrated scalability up to 2,000 liters with consistent yield and product purity. Our Manufacturing Innovation Center has the capacity and yields to produce up to 2,500 doses of RGX-202 per year to support future commercialization. We have completed manufacturing the first batches of RGX-202 intended for commercial supply and manufacturing is ongoing to build commercial inventory in advance of a potential commercial launch. The process performance qualification (PPQ) campaign is also complete.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Sura-vec (ABBV-RGX-314)</w:t>
            </w:r>
            <w:r>
              <w:rPr>
                <w:rFonts w:ascii="Times New Roman" w:hAnsi="Times New Roman"/>
                <w:sz w:val="20"/>
              </w:rPr>
              <w:t xml:space="preserve">: We are developing surabgene lomparvovec (sura-vec, ABBV-RGX-314) in collaboration with AbbVie Inc. as a potential one-time treatment for chronic retinal conditions which cause total or partial vision loss, including wet age-related macular degeneration (“wet AMD”) and diabetic retinopathy (“DR”). Sura-vec is currently being evaluated in multiple ongoing clinical trials, including two pivotal trials (ATMOSPHERE and ASCENT) where enrollment has been completed, one long-term follow-up study, and a fellow eye sub-study in patients with wet AMD, all utilizing subretinal delivery. We expect topline data from ATMOSPHERE and ASCENT to be shared in the fourth quarter of 2026 in partnership with AbbVie. Additionally, two Phase II clinical trials in patients with wet AMD (AAVIATE) and DR (ALTITUDE) are ongoing along with two corresponding long-term follow-up studies, all utilizing in-office suprachoroidal delivery. Within the Phase II study in DR, we are also evaluating sura-vec in diabetic macular edema (“DME”). Additionally, we have activated U.S. clinical sites, initiated enrollment and dosed the first patient in the Phase IIb/III NAAVIGATE trial. As a result of dosing the first patient in the NAAVIGATE trial, we have earned a $100.0 million milestone payment from AbbVie, which we expect to receive in July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NAVSUNLI (RGX-121)</w:t>
            </w:r>
            <w:r>
              <w:rPr>
                <w:rFonts w:ascii="Times New Roman" w:hAnsi="Times New Roman"/>
                <w:sz w:val="20"/>
              </w:rPr>
              <w:t xml:space="preserve">: We are developing NAVSUNLI as an investigational one-time AAV therapeutic for the treatment of Mucopolysaccharidosis Type II, also known as Hunter syndrome, using the NAV AAV9 vector to deliver the gene that encodes the iduronate-2-sulfatase enzyme. In March 2025, we submitted a BLA for RGX-121 seeking accelerated approval to the FDA. In August 2025, the FDA completed a pre-license inspection and bioresearch monitoring information inspection for the RGX-121 BLA with no observations. Also in August 2025, we announced the FDA had extended its review timeline of the RGX-121 BLA following the Company’s submission of longer-term clinical data for all patients in the pivotal study of RGX-121 (n=13) in response to an FDA information request, resulting in an extension of the Prescription Drug User Fee Act date from November 9, 2025 to February 8, 2026. In January 2026, we announced that the FDA placed the RGX-121 program on partial clinical hold in relation to a serious adverse event in a patient treated in the Phase I/II trial of RGX-111. The FDA cited the similarities in products, study populations, and shared risk between the clinical studies. In February 2026, we announced that the FDA issued a Complete Response Letter (“CRL”) regarding the BLA for RGX-121. The FDA lifted the partial clinical hold with regard to RGX-121 on April 30, 2026. As part of our appeal of the CRL, the FDA recently acknowledged the existing NAVSUNLI clinical data is sufficient to be considered for the accelerated approval pathway and that we do not need to enroll additional patients or conduct additional studies, including the FDA’s previously recommended incorporation of an untreated control arm. The FDA asked us to request a Type A meeting to review existing longer-term biomarker and clinical data and to resubmit the BLA following this meeting. We expect the Type A meeting to occur in July 2026 and to resubmit the BLA during the third quarter of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RGX-111</w:t>
            </w:r>
            <w:r>
              <w:rPr>
                <w:rFonts w:ascii="Times New Roman" w:hAnsi="Times New Roman"/>
                <w:sz w:val="20"/>
              </w:rPr>
              <w:t xml:space="preserve">: We are developing RGX-111 in collaboration with Nippon Shinyaku in the United States and certain countries in Asia as an investigational one-time AAV therapeutic for the treatment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Mucopolysaccharidosis Type I (“MPS I”), also known as Hurler syndrome, using the NAV AAV9 vector to deliver the IDUA gene. A Phase I/II study evaluating RGX-111 was initiated in 2017 and enrollment completed in 2023; prior to a strategic pipeline prioritization in November 2023 that largely halted development, RGX-111 demonstrated to be well tolerated in interim results and indicated encouraging biomarker and neurodevelopmental results. In January 2026, we announced that the FDA placed the RGX-111 program on partial clinical hold following preliminary analysis of a single case of neoplasm (intraventricular central nervous system tumor) in a participant treated in the Phase I/II study. The case was identified during a routine brain MRI of an asymptomatic five-year-old participant who received intracisternal RGX-111 four years prior. Preliminary genetic analysis of the resected tumor detected an AAV vector genome integration event associated with overexpression of a proto-oncogene (“PLAG1”), which is known to be susceptible to chromosomal rearrangements. Final analysis of the resected tumor was conducted by an independent third-party lab, and, as previously reported, detected an AAV vector genome integration event associated with overexpression of a PLAG1. The report concluded, based on formal neuropsychologic testing and developmental pediatrician assessment, that the patient’s neurocognitive development was above average, which indicated mitigation of MPS I disease, and the patient continued to do well. The analysis was published in The New England Journal of Medicine in May 2026.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Our NAV Technology Licensing Platform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internal product development efforts, we also selectively license the NAV Technology Platform and other intellectual property rights to other leading biotechnology and pharmaceutical companies, which we refer to as NAV Technology Licensees. As of March 31, 2026, our NAV Technology Platform was being applied in two commercial products, Zolgensma® and Itvisma® under a license agreement (the “Novartis License”) with Novartis Innovative Technologies Inc. (formerly, Novartis Gene Therapies, Inc.), a wholly-owned subsidiary of Novartis AG (“Novartis”), and the preclinical and clinical development of various other licensed products. 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additional revenue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mid-January 2026, licensed patents for Zolgensma under the Novartis License expired in the United States. We are entitled to continued royalties on net sales of Zolgensma in approximately 20 countries where licensed patents remain active. Licensed product made prior to patent expiration but sold after expiration may also be subject to royalties. Patents covering the use of Itvisma have issued in the United States and certain other countries and are licensed to Novartis under the Novartis License. We are entitled to ongoing royalties on certain net sales of Itvisma in these territories.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Preliminary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not finalized our financial statements as of and for the quarter ended June 30, 2026. We expect to report cash, cash equivalents and marketable securities of approximately $105.5 million as of June 30, 2026, as compared to $150.5 million available as of March 31, 2026. The actual amounts that we report will be subject to our financial closing procedures and any final adjustments that may be made prior to the time our financial results for the quarter ended June 30, 2026 are finalized and filed with the SEC. The preliminary financial information as of June 30, 2026 included herein has been prepared by, and is the responsibility of, our management. PricewaterhouseCoopers LLP has not audited, reviewed, examined, compiled, or applied agreed-upon procedures with respect to the preliminary financial information. Accordingly, PricewaterhouseCoopers LLP does not express an opinion or any other form of assurance with respect thereto. This estimate should not be viewed as a substitute for financial statements prepared in accordance with accounting principles generally accepted in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States and is not necessarily indicative of the results to be achieved in any future period. Accordingly, you should not place undue reliance on this preliminary estimate. We assume no duty to update this preliminary estimate except as required by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we expect to receive a $100.0 million milestone payment from AbbVie in July 2026 in connection with the dosing of the first patient in the Phase IIb/III NAAVIGATE clinical trial for sura-vec. We believe our cash, cash equivalents and marketable securities as of June 30, 2026, along with the $100.0 million milestone payment expected to be received from AbbVie in July 2026, are sufficient to fund operations into the second quarter of 2027. This estimate is based on our current operating plan and excludes the potential effects of this offering or any future financings or any other material milestone payments that may be received under our licensing and collaboration arrangements. We have based this estimate on assumptions that may prove to be wrong, and we could exhaust our capital resources sooner than expected.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2008. Our principal executive offices are located at 9804 Medical Center Drive, Rockville, Maryland 20850, and our telephone number is (240) 552-8181. Our website address is www.regenxbio.com. The information on our website is not incorporated by reference into this prospectus supplement or the accompanying prospectus and should not be considered to be part of this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133519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REGENXBIO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10,003,889 shares of our common stock with an aggregate public offering price of approximately $90,035,001.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6" w:type="dxa"/>
            <w:tcBorders/>
          </w:tcPr>
          <w:p>
            <w:pPr>
              <w:pStyle w:val="TableContents"/>
              <w:bidi w:val="0"/>
              <w:spacing w:before="0" w:after="283"/>
              <w:jc w:val="left"/>
              <w:rPr/>
            </w:pPr>
            <w:r>
              <w:rPr/>
              <w:t xml:space="preserve">We are also offering, in lieu of common stock to certain investors, 1,111,111 pre-funded warrants to purchase shares of our common stock with an aggregate public offering price of approximately $9,999,888. The purchase price of each pre-funded warrant equals the price per share at which the shares of our common stock are being sold to the public in this offering, minus $0.0001, which will be payable as the exercise price per share of each pre-funded warrant. Each pre-funded warrant will be exercisable at any time after the date of issuance of such pre-funded warrant, subject to an ownership limitation. See “Description of Pre-funded Warrants.” This prospectus supplement also relates to the offering of the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8" w:type="dxa"/>
            <w:tcBorders/>
          </w:tcPr>
          <w:p>
            <w:pPr>
              <w:pStyle w:val="TableContents"/>
              <w:bidi w:val="0"/>
              <w:spacing w:before="0" w:after="283"/>
              <w:jc w:val="left"/>
              <w:rPr/>
            </w:pPr>
            <w:r>
              <w:rPr/>
              <w:t xml:space="preserve">The underwriters have the option to purchase up to an additional 1,667,250 shares of our common stock with an aggregate public offering price of approximately $15,005,250, which they may exercise, in whole or in part, for a period of 30 days from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8" w:type="dxa"/>
            <w:tcBorders/>
          </w:tcPr>
          <w:p>
            <w:pPr>
              <w:pStyle w:val="TableContents"/>
              <w:bidi w:val="0"/>
              <w:spacing w:before="0" w:after="283"/>
              <w:jc w:val="left"/>
              <w:rPr/>
            </w:pPr>
            <w:r>
              <w:rPr/>
              <w:t xml:space="preserve">61,621,122 shares, or 62,732,233 shares if holders of the pre-funded warrants exercise the pre-funded warrants in full (and no exercise of underwriters’ option to purchase additional shares), or 64,399,483 shares if the underwriters’ option to purchase additional shares is exercised in full (and the pre-funded warrants are exercised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$93.7 million, or approximately $107.8 million if the underwriters exercise in full their option to purchase additional shares, after deducting the underwriting discounts and commissions and estimated offering expenses payable by us. We intend to use the net proceeds from the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“Use of Proceeds” on page S-10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common stock or pre-funded warrants involves significant risks. See “Risk Factors” beginning on page S-7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listing </w:t>
            </w:r>
          </w:p>
        </w:tc>
        <w:tc>
          <w:tcPr>
            <w:tcW w:w="6328" w:type="dxa"/>
            <w:tcBorders/>
          </w:tcPr>
          <w:p>
            <w:pPr>
              <w:pStyle w:val="TableContents"/>
              <w:bidi w:val="0"/>
              <w:spacing w:before="0" w:after="283"/>
              <w:jc w:val="left"/>
              <w:rPr/>
            </w:pPr>
            <w:r>
              <w:rPr/>
              <w:t xml:space="preserve">Our common stock is listed on Nasdaq under the symbol “RGNX.” There is no public trading market for the pre-funded warrants, and we do not expect a market to develop. We do not intend to list the pre-funded warrants on Nasdaq, any other national securities exchange or any other nationally recognized trading system.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immediately after this offering, as stated above, is based on 51,617,233 shares outstanding as of March 31, 2026, and excludes the 1,111,111 shares of common stock issuable upon the exercise of the pre-funded warrants being offered by us in this offering, as well as, as of March 31,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11,579,090 shares of our common stock issuable upon the exercise of stock options outstanding as of March 31, 2026 at a weighted average exercise price of $25.03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3,495,485 shares of our common stock issuable pursuant to unvested restricted stock units and performance stock units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4,121,339 shares of common stock reserved for issuance under our 2025 Equity Incentive Plan and 662,624 shares reserved for issuance under our 2015 Employee Stock Purchase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869,603 shares of common stock issuable upon the exercise of pre-funded warrants outstanding as of March 31, 2026, at a weighted average exercise price of $0.0001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268,096 shares of common stock issuable upon the exercise of warrants outstanding as of March 31, 2026, at a weighted average exercise price of $14.92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Subsequent to March 31, 2026 and as of the date of this prospectus supplement, an additional 2,318,735 shares of our common stock have been issued and sold pursuant to our at-the-market offering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we commenced an offer to certain non-executive employee optionholders to exchange certain eligible outstanding stock options for replacement options under our 2025 Equity Incentive Plan. The offer expired on July 1, 2026. Pursuant to the offer, we accepted for exchange options to purchase 1,940,394 shares of common stock, representing approximately 67.0% of the shares underlying eligible options. All tendered eligible options were canceled effective July 2, 2026, and on the same day, in exchange therefor, we granted replacement options to purchase 775,401 shares of our common stock at an exercise price of $13.28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the prospectus supplement, including the number of shares of common stock outstanding immediately after this offering, excludes the shares referenced above and assumes no exercise by the underwriters of their option to purchase 1,667,250 additional shares of common stock from us within 30 days of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13351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common stock and pre-funded warrants involves a high degree of risk. Before deciding whether to invest in our common stock and pre-funded warrants, you should consider carefully the risks described below and discussed under the sections captioned “Risk Factors” in Part I, Item 1A of our Annual Report on Form 10-K for the year ended December 31, 2025, which is incorporated by reference in this prospectus supplement and the accompanying prospectus in its entirety, together with other information in this prospectus supplement, the accompanying prospectus, and the information and documents incorporated by reference that we have authorized for use in connection with this offering. If any of these risks actually occur, our business, financial condition, results of operations or cash flows could be seriously harmed. This could cause the trading price of our common stock and the value of our pre-funded warrants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Pre-funded Warrants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As an investor participating in this offering, you will experience immediate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is substantially higher than the net tangible book value per share of our common stock outstanding prior to this offering. As a result, investors purchasing common stock or pre-funded warrants in this offering will experience immediate and substantial dilution to the extent of the difference between the public offering price per share or pre-funded warrant and the net tangible book value per share of our common stock. After giving effect to the sale of 10,003,889 shares of our common stock and 1,111,111 pre-funded warrants in this offering at the offering price of $9.00 per share and $8.9999 per warrant and based on our net tangible book value as of March 31, 2026 of $0.41 per share, if you purchase shares of common stock in this offering you will suffer substantial and immediate dilution of $7.14 per share in the net tangible book value of the common stock, assuming no exercise of the underwriters’ option to purchase additional shares of common stock and no exercise of the pre-funded warrants and excluding any resulting accounting associated with the pre-funded warrants. The future exercise of outstanding options and warrants and vesting of restricted stock units will result in further dilution of your investment. Furthermore, if the pre-funded warrants are exercised, you will incur further dilution. See the section entitled “Dilution” below for a more detailed discussion of the dilution you will incur if you purchase common stock or pre-funded warrants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actual amounts and timing of the expenditures of the proceeds we receive in this offering and might not apply the proceeds in ways that enhance our financial condition or operating results or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we receive from this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This expected use of our net proceeds from this offering represents our intention based upon our current plans and business conditions. The amount and timing of our actual expenditures may vary significantly depending on numerous factors, including success of our product candidate development and any potential commercialization efforts, cash generated from future operations, if any, and actual expenses to operate our business. Because of the number and variability of factors that will determine our use of the proceeds from this offering, their ultimate use may vary substantially from their currently intended use. As a result, our management will retain broad discretion over the allocation of the net proceeds we receive from this offering and could spend the proceeds in ways that do not necessarily improve our financial condition or operating results or enhance the value of our common stock and your investment therein. Additionally, until the net proceeds we receive are used, they may be placed in investments that do not produce income or that lose value. See “Use of Proceeds” located elsewhere in this prospectus supplement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receive any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 funded warrant. Accordingly, we may not receive any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any pre-funded warrants purchased in this offering will have no rights as holders of our common stock with respect to the shares of common stock underlying such pre-funded warrants until such holders exercise their pre-funded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acquire shares of our common stock upon exercise of the pre-funded warrants, holders of pre-funded warrants will have no rights with respect to the shares of our common stock underlying such pre-funded warrants including with respect to dividends and voting rights. Upon exercise of the pre-funded warrants, the holders will be entitled to exercise the rights of a holder of our common stock with respect to the shares of common stock underlying such pre-funded warrants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of our common stock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pre-funded warrants will not be entitled to exercise any portion of any pre-funded warrant which, upon giving effect to such exercise, would cause (i) the aggregate number of shares of our common stock beneficially owned by the holder (together with its affiliates) to exceed 4.99% or 9.99% of the number of shares of our common stock outstanding immediately after giving effect to the exercise, or (ii) the combined voting power of our securities beneficially owned by the holder (together with its affiliates) to exceed 4.99% or 9.99% of the combined voting power of all of our securities then outstanding immediately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or other securities convertible into our common stock, or the perception that such sales or issuances could occur, could cause the market value of our common stock to decline and could result in dilution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without stockholder approval, to cause us to issue additional shares of our common stock or to raise capital through the issuance of preferred stock or the sale of debt securities that are convertible into common stock, options, warrants and other rights, on terms and for consideration as our board of directors in its sole discretion may determine. Sales of substantial amounts of our common stock or the issuance of preferred stock, options, restricted stock units, performance stock units, warrants and other rights, or the perception that such sales or issuances could occur, could cause the market price of our common stock to decrease significantly. We cannot predict the effect, if any, of future sales of our common stock, including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pursuant to this offering, or any preferred stock, convertible debt securities, options, restricted stock units, performance stock units, warrants or other rights or the availability of our common stock for future sales on the value of our common stock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existing cash resources may not be sufficient to fund our operations for the next 12 months. </w:t>
      </w:r>
    </w:p>
    <w:p>
      <w:pPr>
        <w:pStyle w:val="TextBody"/>
        <w:bidi w:val="0"/>
        <w:spacing w:before="120" w:after="0"/>
        <w:jc w:val="left"/>
        <w:rPr>
          <w:rFonts w:ascii="Times New Roman" w:hAnsi="Times New Roman"/>
          <w:sz w:val="20"/>
        </w:rPr>
      </w:pPr>
      <w:r>
        <w:rPr>
          <w:rFonts w:ascii="Times New Roman" w:hAnsi="Times New Roman"/>
          <w:sz w:val="20"/>
        </w:rPr>
        <w:t xml:space="preserve">Our existing cash, cash equivalents, and marketable securities may not be sufficient to fund our operating expenses and capital requirements for at least the next 12 months from the date of this prospectus supplement. As a result, there is substantial doubt about our ability to continue as a going concern. Drug development is a lengthy, expensive, and uncertain process, and our product candidates may fail at any stage of development. Our ability to continue as a going concern is dependent on the successful development, regulatory approval, and commercialization of our product candidates. Our financial statements for the year ended December 31, 2025 and the quarter ended March 31, 2026 include disclosures indicating that there is substantial doubt about our ability to continue as a going concern. This disclosure may adversely affect investor confidence, our stock price, and our ability to raise additional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13351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$93.7 million, or approximately $107.8 million if the underwriters exercise in full their option to purchase additional shares, after deducting underwriting discounts and commissions and estimated offering expenses payable by us. We will receive nominal proceeds, if any, upon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plan to use the net proceeds we receive from this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success of our product candidate development and any potential commercialization efforts, cash generated from future operations, if any, and actual expenses to operate our business. As of the date of this prospectus supplement,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use of proceeds from this offering, we intend to invest the proceeds in a variety of capital preservation investments, including long-term and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133519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or pre-funded warrants in this offering, your ownership interest will be diluted immediately to the extent of the difference between the price per share of our common stock you pay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our net tangible book value was $21.1 million, or approximately $0.41 per share of common stock. Net tangible book value per share is equal to our total tangible assets, less our total liabilities, divided by the number of outstanding shares of our common stock. Dilution with respect to net tangible book value per share represents the difference between the amount per share paid by purchasers of shares of common stock in this offering and the net tangible book value per share of our common stock immediately after this offering. After giving effect to the sale of shares of common stock in this offering, and pre-funded warrants to purchase 1,111,111 shares of our common stock at the public offering price of $8.9999 per pre-funded warrant (which equals the public offering price per share of our common stock less the $0.0001 per share exercise price of each such pre-funded warrant) (and excluding shares of our common stock issued and any proceeds received upon exercise of the pre-funded warrants or any resulting accounting associated with the pre-funded warrants), after deducting underwriting discounts and commissions and estimated offering expenses payable by us, at the public offering price of $9.00 per share, our as adjusted net tangible book value as of March 31, 2026 would have been approximately $114.8 million, or approximately $1.86 per share of common stock. This represents an immediate increase in net tangible book value of $1.45 per share to our existing stockholders and an immediate dilution of $7.14 per share to investors participating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amounts in the table below assume no exercise by the underwriters of their option to purchase additional shares of common stock and the holders of the pre-funded warrants offered hereby do not exercise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439"/>
        <w:gridCol w:w="274"/>
        <w:gridCol w:w="60"/>
        <w:gridCol w:w="744"/>
        <w:gridCol w:w="60"/>
        <w:gridCol w:w="274"/>
        <w:gridCol w:w="60"/>
        <w:gridCol w:w="598"/>
        <w:gridCol w:w="63"/>
      </w:tblGrid>
      <w:tr>
        <w:trPr/>
        <w:tc>
          <w:tcPr>
            <w:tcW w:w="6439"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$9.00</w:t>
            </w:r>
          </w:p>
        </w:tc>
        <w:tc>
          <w:tcPr>
            <w:tcW w:w="63" w:type="dxa"/>
            <w:tcBorders/>
            <w:shd w:fill="CCEEFF" w:val="clear"/>
            <w:vAlign w:val="bottom"/>
          </w:tcPr>
          <w:p>
            <w:pPr>
              <w:pStyle w:val="TableContents"/>
              <w:bidi w:val="0"/>
              <w:spacing w:before="0" w:after="283"/>
              <w:jc w:val="left"/>
              <w:rPr/>
            </w:pPr>
            <w:r>
              <w:rPr/>
              <w:t> </w:t>
            </w:r>
          </w:p>
        </w:tc>
      </w:tr>
      <w:tr>
        <w:trPr/>
        <w:tc>
          <w:tcPr>
            <w:tcW w:w="6439"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$ 0.41</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1.45</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43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43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on March 31, 2026 after giving effect to this offering</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643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common stock in this offering</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$7.14</w:t>
            </w:r>
          </w:p>
        </w:tc>
        <w:tc>
          <w:tcPr>
            <w:tcW w:w="63" w:type="dxa"/>
            <w:tcBorders/>
            <w:shd w:fill="CCEEFF" w:val="clear"/>
            <w:vAlign w:val="bottom"/>
          </w:tcPr>
          <w:p>
            <w:pPr>
              <w:pStyle w:val="TableContents"/>
              <w:bidi w:val="0"/>
              <w:spacing w:before="0" w:after="283"/>
              <w:jc w:val="left"/>
              <w:rPr/>
            </w:pPr>
            <w:r>
              <w:rPr/>
              <w:t> </w:t>
            </w:r>
          </w:p>
        </w:tc>
      </w:tr>
      <w:tr>
        <w:trPr/>
        <w:tc>
          <w:tcPr>
            <w:tcW w:w="6439"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our common stock in full in this offering (and excluding shares of our common stock issued and any proceeds received upon exercise of the pre-funded warrants or any resulting accounting associated with the pre-funded warrants), the increase in as adjusted net tangible book value per share to existing stockholders would be $1.63 per share and the dilution to purchasers of common stock in this offering would be $6.96 per share.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pre-funded warrants exercise the pre-funded warrants in full, our as adjusted net tangible book value per share of common stock after giving effect to this offering (but not the exercise of the underwriters’ option to purchase additional shares) would have been $1.83, and the dilution in as adjusted net tangible book value per share to new investors participating in this offering would have been $7.17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are calculated based on 51,617,233 shares of our common stock that were outstanding on March 31, 2026, and exclude the 1,111,111 shares of common stock issuable upon the exercise of the pre-funded warrants being offered by us in this offering, as well as, as of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11,579,090 shares of our common stock issuable upon the exercise of stock options outstanding as of March 31, 2026 at a weighted average exercise price of $25.03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3,495,485 shares of our common stock issuable pursuant to unvested restricted stock units and performance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4,121,339 shares of common stock reserved for issuance under our 2025 Equity Incentive Plan and 662,624 shares reserved for issuance under our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869,603 shares of common stock issuable upon the exercise of pre-funded warrants outstanding as of March 31, 2026, at a weighted average exercise price of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268,096 shares of common stock issuable upon the exercise of warrants outstanding as of March 31, 2026, at a weighted average exercise price of $14.92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March 31, 2026 and as of the date of this prospectus supplement, an additional 2,318,735 shares of our common stock have been issued and sold pursuant to our at-the-market offering program. </w:t>
      </w:r>
    </w:p>
    <w:p>
      <w:pPr>
        <w:pStyle w:val="TextBody"/>
        <w:bidi w:val="0"/>
        <w:spacing w:before="240" w:after="0"/>
        <w:jc w:val="left"/>
        <w:rPr>
          <w:rFonts w:ascii="Times New Roman" w:hAnsi="Times New Roman"/>
          <w:sz w:val="20"/>
        </w:rPr>
      </w:pPr>
      <w:r>
        <w:rPr>
          <w:rFonts w:ascii="Times New Roman" w:hAnsi="Times New Roman"/>
          <w:sz w:val="20"/>
        </w:rPr>
        <w:t xml:space="preserve">In June 2026, we commenced an offer to certain non-executive employee optionholders to exchange certain eligible outstanding stock options for replacement options under our 2025 Equity Incentive Plan. The offer expired on July 1, 2026. Pursuant to the offer, we accepted for exchange options to purchase 1,940,394 shares of common stock, representing approximately 67.0% of the shares underlying eligible options. All tendered eligible options were canceled effective July 2, 2026, and on the same day, in exchange therefor, we granted replacement options to purchase 775,401 shares of our common stock at an exercise price of $13.28 per share. </w:t>
      </w:r>
    </w:p>
    <w:p>
      <w:pPr>
        <w:pStyle w:val="TextBody"/>
        <w:bidi w:val="0"/>
        <w:spacing w:before="240" w:after="0"/>
        <w:jc w:val="left"/>
        <w:rPr>
          <w:rFonts w:ascii="Times New Roman" w:hAnsi="Times New Roman"/>
          <w:sz w:val="20"/>
        </w:rPr>
      </w:pPr>
      <w:r>
        <w:rPr>
          <w:rFonts w:ascii="Times New Roman" w:hAnsi="Times New Roman"/>
          <w:sz w:val="20"/>
        </w:rPr>
        <w:t xml:space="preserve">New investors will experience further dilution if any of our outstanding warrants or options are exercised, outstanding restricted stock units are vested or settled, or new equity awards are granted and exercised or settled under our equity incentive plans. Furthermore, we may choose to raise additional capital through the sale of equity or convertible debt securities due to market conditions or strategic considerations, even if we believe we have sufficient funds for our current or future operating plans. To the extent that we raise additional capital in this manner, the issuance of such securities could result in further dilution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133519_7a"/>
      <w:bookmarkEnd w:id="10"/>
      <w:r>
        <w:rPr>
          <w:rFonts w:ascii="Times New Roman" w:hAnsi="Times New Roman"/>
          <w:b/>
          <w:sz w:val="20"/>
        </w:rPr>
        <w:t>DESCRIPTION OF PRE-FUNDED WARRANTS</w:t>
      </w:r>
    </w:p>
    <w:p>
      <w:pPr>
        <w:pStyle w:val="TextBody"/>
        <w:bidi w:val="0"/>
        <w:spacing w:before="240" w:after="0"/>
        <w:jc w:val="left"/>
        <w:rPr>
          <w:rFonts w:ascii="Times New Roman" w:hAnsi="Times New Roman"/>
          <w:sz w:val="20"/>
        </w:rPr>
      </w:pPr>
      <w:r>
        <w:rPr>
          <w:rFonts w:ascii="Times New Roman" w:hAnsi="Times New Roman"/>
          <w:sz w:val="20"/>
        </w:rPr>
        <w:t>The following is a brief summary of certain terms and conditions of the pre-funded warrants being offered by us. The following description is subject in all respects to the provisions contained in the pre-funded warrants.</w:t>
      </w:r>
    </w:p>
    <w:p>
      <w:pPr>
        <w:pStyle w:val="TextBody"/>
        <w:bidi w:val="0"/>
        <w:spacing w:before="360" w:after="0"/>
        <w:jc w:val="left"/>
        <w:rPr>
          <w:rFonts w:ascii="Times New Roman" w:hAnsi="Times New Roman"/>
          <w:b/>
          <w:sz w:val="20"/>
        </w:rPr>
      </w:pPr>
      <w:r>
        <w:rPr>
          <w:rFonts w:ascii="Times New Roman" w:hAnsi="Times New Roman"/>
          <w:b/>
          <w:sz w:val="20"/>
        </w:rPr>
        <w:t>Form</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each individual purchaser of a pre-funded warrant. The form of pre-funded warrant will be filed as an exhibit to a Current Report on Form 8-K that we will file with the SEC in connection with the offering. </w:t>
      </w:r>
    </w:p>
    <w:p>
      <w:pPr>
        <w:pStyle w:val="TextBody"/>
        <w:bidi w:val="0"/>
        <w:spacing w:before="360" w:after="0"/>
        <w:jc w:val="left"/>
        <w:rPr>
          <w:rFonts w:ascii="Times New Roman" w:hAnsi="Times New Roman"/>
          <w:b/>
          <w:sz w:val="20"/>
        </w:rPr>
      </w:pPr>
      <w:r>
        <w:rPr>
          <w:rFonts w:ascii="Times New Roman" w:hAnsi="Times New Roman"/>
          <w:b/>
          <w:sz w:val="20"/>
        </w:rPr>
        <w:t>Term</w:t>
      </w:r>
    </w:p>
    <w:p>
      <w:pPr>
        <w:pStyle w:val="TextBody"/>
        <w:bidi w:val="0"/>
        <w:spacing w:before="120" w:after="0"/>
        <w:jc w:val="left"/>
        <w:rPr>
          <w:rFonts w:ascii="Times New Roman" w:hAnsi="Times New Roman"/>
          <w:sz w:val="20"/>
        </w:rPr>
      </w:pPr>
      <w:r>
        <w:rPr>
          <w:rFonts w:ascii="Times New Roman" w:hAnsi="Times New Roman"/>
          <w:sz w:val="20"/>
        </w:rPr>
        <w:t>The pre-funded warrants do not expire.</w:t>
      </w:r>
    </w:p>
    <w:p>
      <w:pPr>
        <w:pStyle w:val="TextBody"/>
        <w:bidi w:val="0"/>
        <w:spacing w:before="360" w:after="0"/>
        <w:jc w:val="left"/>
        <w:rPr>
          <w:rFonts w:ascii="Times New Roman" w:hAnsi="Times New Roman"/>
          <w:b/>
          <w:sz w:val="20"/>
        </w:rPr>
      </w:pPr>
      <w:r>
        <w:rPr>
          <w:rFonts w:ascii="Times New Roman" w:hAnsi="Times New Roman"/>
          <w:b/>
          <w:sz w:val="20"/>
        </w:rPr>
        <w:t>Exercisability</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In the event the registration statement or another registration statement registering the issuance of the number of shares of our common stock issuable upon the exercise is, for any reason, not effective at the time of such exercise, then the holder shall elect to exercise the pre-funded warrant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 In lieu of fractional shares, we will pay the holder an amount in cash equal to the fractional amount multiplied by the last closing trading price of our common stock on the exercise date. </w:t>
      </w:r>
    </w:p>
    <w:p>
      <w:pPr>
        <w:pStyle w:val="TextBody"/>
        <w:bidi w:val="0"/>
        <w:spacing w:before="360" w:after="0"/>
        <w:jc w:val="left"/>
        <w:rPr>
          <w:rFonts w:ascii="Times New Roman" w:hAnsi="Times New Roman"/>
          <w:b/>
          <w:sz w:val="20"/>
        </w:rPr>
      </w:pPr>
      <w:r>
        <w:rPr>
          <w:rFonts w:ascii="Times New Roman" w:hAnsi="Times New Roman"/>
          <w:b/>
          <w:sz w:val="20"/>
        </w:rPr>
        <w:t>Exercise limitations</w:t>
      </w:r>
    </w:p>
    <w:p>
      <w:pPr>
        <w:pStyle w:val="TextBody"/>
        <w:bidi w:val="0"/>
        <w:spacing w:before="120" w:after="0"/>
        <w:jc w:val="left"/>
        <w:rPr>
          <w:rFonts w:ascii="Times New Roman" w:hAnsi="Times New Roman"/>
          <w:sz w:val="20"/>
        </w:rPr>
      </w:pPr>
      <w:r>
        <w:rPr>
          <w:rFonts w:ascii="Times New Roman" w:hAnsi="Times New Roman"/>
          <w:sz w:val="20"/>
        </w:rPr>
        <w:t xml:space="preserve">Under the pre-funded warrants, we may not effect the exercise of any pre-funded warrant, and a holder will not be entitled to exercise any portion of any pre-funded warrant, which, upon giving effect to such exercise, would cause (i) the aggregate number of shares of our common stock beneficially owned by the holder (together with its affiliates) to exceed 4.99% or 9.99% for certain purchasers of the number of shares of our common stock outstanding immediately after giving effect to the exercise, or (ii) the combined voting power of our securities beneficially owned by the holder (together with its affiliates) to exceed 4.99% or 9.99% for certain purchasers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Antidilution and other adjustments</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our common stock. If at any time while a pre-funded warrant is outstanding, we pay cash dividends or make other distributions to holders of our common stock, then such holders of the pre-funded warrants shall generally be entitled to participate in such cash dividends or distributions to the same extent that the holder would have participated if the holder had held the number of shares of common stock acquirable upon complete exercise of its pre-funded warrant. The exercise price of the pre-funded warrants and the number of shares of our common stock issuable upon exercise of the pre-funded warrants are subject to appropriate adjustment in the event of certain stock dividends and distributions, stock splits, stock combinations,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reclassifications or similar events affecting our common stock and also upon any distributions of assets, including cash, stock or other property to our stockholders. The exercise price will not be adjusted below the par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Exchange listing</w:t>
      </w:r>
    </w:p>
    <w:p>
      <w:pPr>
        <w:pStyle w:val="TextBody"/>
        <w:bidi w:val="0"/>
        <w:spacing w:before="120" w:after="0"/>
        <w:jc w:val="left"/>
        <w:rPr>
          <w:rFonts w:ascii="Times New Roman" w:hAnsi="Times New Roman"/>
          <w:sz w:val="20"/>
        </w:rPr>
      </w:pPr>
      <w:r>
        <w:rPr>
          <w:rFonts w:ascii="Times New Roman" w:hAnsi="Times New Roman"/>
          <w:sz w:val="20"/>
        </w:rPr>
        <w:t>We do not plan to apply to list the pre-funded warrants on Nasdaq, any other national securities exchange or any other nationally recognized trading system.</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any merger or consolidation with or into another person, the sale, transfer or other disposition of all or substantially all of our assets, the acquisition of, or any person or group becoming the beneficial owner of, more than 50% of the voting power represented by our outstanding common stock, or the reorganization, recapitalization or reclassification of our common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No rights as a stockholder</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a holder’s ownership of shares of our common stock, the holder of a pre-funded warrant does not have any rights or privileges of a holder of our common stock, including any voting rights, until such holder exercises the pre-funded warrant and receives the underlying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133519_8"/>
      <w:bookmarkEnd w:id="11"/>
      <w:r>
        <w:rPr>
          <w:rFonts w:ascii="Times New Roman" w:hAnsi="Times New Roman"/>
          <w:b/>
          <w:sz w:val="20"/>
        </w:rPr>
        <w:t xml:space="preserve">MATERIAL U.S. FEDERAL INCOME TAX CONSIDERATIONS FOR NON-U.S. HOLDERS OF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describes the material U.S. federal income tax consequences to non-U.S. holders (as defined below) of the acquisition, ownership and disposition of our common stock and pre-funded warrants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including alternative minimum tax laws. This discussion is based on the Internal Revenue Code of 1986, as amended, or the Code, Treasury Regulations promulgated thereunder, judicial decisions and published rulings and administrative pronouncements of the Internal Revenue Service, or IRS, all as in effect as of the date of this prospectus supplement. These authorities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common stock or pre-funded warrants issued pursuant to this offering and who hold our common stock or pre-funded warrants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without limitation, certain former citizens or long-term residents of the United States, partnerships or other pass-through entities, a non-U.S. governmental or sovereign entity or any entity qualifying under Section 892 of the Code, corporations that accumulate earnings to avoid U.S. federal income tax, banks, financial institutions, insurance companies, brokers, dealers or traders in securities, tax-exempt organizations, tax-qualified retirement plans and persons holding our common stock or pre-funded warrants as part of a hedging or conversion transaction or straddle, or a constructive sale, or other risk reduction strategy.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or pre-funded warrants, the U.S. federal income tax treatment of a partner will generally depend on the status of the partner and the activities of the partnership. Partnerships holding our common stock or pre-funded warrants and the partners in such partnerships are urged to consult their tax advisors as to particular U.S. federal income tax consequences to them of holding and disposing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U.S. FEDERAL INCOME TAX CONSEQUENCES TO THEM OF ACQUIRING, OWNING AND DISPOSING OF OUR COMMON STOCK OR PRE-FUNDED WARRANTS IN THEIR PARTICULAR CIRCUMSTANCES, AS WELL AS ANY TAX CONSEQUENCES ARISING UNDER ANY STATE, LOCAL OR FOREIGN TAX LAWS AND ANY OTHER U.S. FEDERAL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or pre-funded warrants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not subject to United States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does not have in effect a valid election under Treasury Regulations to be treated as a United States person and either (1) no court within the United States is able to exercise primary supervision over the trust’s administration or (2) no United States person has the authority to control all substantial decisions of that trust.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Treatment of warrants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treat our warrants as a class of our common stock for U.S. federal income tax purposes. However, our position is not binding on the IRS and the IRS may treat the warrants as warrants to acquire our common stock. Accordingly, holders should consult their tax advisers regarding the U.S. federal tax consequences of an investment in the pre-funded warrants. The following discussion assumes our pre-funded warrants are properly treated as a class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If we distribute cash or other property in respect of our common stock or pre-funded warrants, such distributions will constitute dividends for U.S. federal income tax purposes to the extent of our current or accumulated earnings and profits, as determined under U.S. federal income tax principles. To the extent a distribution with respect to our shares exceeds our current or accumulated earnings and profits, the amount will not be treated as a dividend. Amounts not treated as dividends for U.S. federal income tax purposes will constitute a return of capital to the extent of the holder’s tax basis in our common stock or pre-funded warrants, and, thereafter, as gain realized on the sale or other disposition of our common stock, which is taxed as described in the section of this prospectus supplement titled “—Gain on sale, exchange, or other taxable disposition of our common stock or pre-funded warrants”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backup withholding and FATCA (defined below), dividends (out of earnings and profits) paid to a non-U.S. holder of our common stock or pre-funded warrants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IRS Form W-8BEN-E (or applicable successor form) including a U.S. taxpayer identification number and certifying under penalties of perjury such holder’s qualification for the reduced rate. This certification must be provided to us or our paying agent prior to the payment of dividends and must be updated periodically. If the non-U.S. holder holds the stock or pre-funded warrants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that do not timely provide the required certification,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or pre-funded warrants in connection with the conduct of a trade or business in the United States, and dividends paid on our common stock or pre-funded warrants are effectively connected with such holder’s U.S. trade or business (and are attributable to such holder’s permanent establishment or fixed base in the United States if required by an applicable tax treaty), the non-U.S. holder will be exempt from the U.S. federal withholding tax discussed in the previous paragraph. To claim the exemption, the non-U.S. holder must generally timely furnish to us or our paying agent a properly executed IRS Form W-8ECI (or applicable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Any dividends paid on our common stock or pre-funded warrants that are effectively connected with a non-U.S. holder’s U.S. trade or business (and if required by an applicable income tax treaty, are attributable to a permanent establishment or fixed base maintained by the non-U.S. holder in the United States) generally will be subject to U.S. federal income tax on a net income basis at the regular U.S. federal income tax rates in the same manner as if such holder were a resident of the United States. A non-U.S. holder that is a foreign corporation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reduced rates of withholding on dividends, or branch profits tax.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a distribution received with respect to a pre-funded warrant is unclear. It is possible such a distribution would be treated as a distribution as described in this section, although other treatments may also be possible. Non-U.S. holders should consult their tax advisors regarding the proper treatment of pre-funded warrants. </w:t>
      </w:r>
    </w:p>
    <w:p>
      <w:pPr>
        <w:pStyle w:val="TextBody"/>
        <w:bidi w:val="0"/>
        <w:spacing w:before="360" w:after="0"/>
        <w:jc w:val="left"/>
        <w:rPr>
          <w:rFonts w:ascii="Times New Roman" w:hAnsi="Times New Roman"/>
          <w:sz w:val="20"/>
        </w:rPr>
      </w:pPr>
      <w:r>
        <w:rPr>
          <w:rFonts w:ascii="Times New Roman" w:hAnsi="Times New Roman"/>
          <w:b/>
          <w:sz w:val="20"/>
        </w:rPr>
        <w:t>Constructive Dividends on Pre-Funded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of a pre-funded warrant may, in some circumstances, be deemed to have received a distribution subject to U.S. federal withholding tax as a result of an adjustment or the non-occurrence of an adjustment to the exercise price or number of shares of common stock issuable upon exercise of the pre-funded warrant. Non-U.S. holders should consult their tax advisors regarding the proper treatment of any adjustments to (or failure to make adjustments to)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exchange, or other taxable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a non-U.S. holder generally will not be subject to U.S. federal income tax on any gain realized upon the sale, exchange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in which case the non-U.S. holder generally will be subject to United States federal income tax on a net income basis with respect to such gain in the same manner as if such holder were a resident of the United States and, if the non-U.S. holder is a corporation for United States federal income tax purposes, may be subject to additional branch profits tax equal to 30% (or such lower rate specified by an applicable income tax treaty) of its effectively connected gains for the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disposition, and certain other requirements are met, in which case the non-U.S. holder generally will be subject to United States federal income tax at a 30% rate (or at a lower rate under an applicable income tax treaty) on the gain derived from the sale, which gain may be offset by U.S.-source capital losses for the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 stock in a United States real property holding corporation, or USRPHC, for U.S. federal income tax purposes at any time within the shorter of the five-year period preceding the disposition or the non-U.S. holder’s holding period for our common stock or pre-funded warrants (the “relevant period”) and the non-U.S. holder (i) disposes of our shares during a calendar year when our shares are no longer regularly traded on an established securities market or (ii) owned (directly, indirectly, and constructively) more than 5% of our shares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determination of whether we are a USRPHC depends on the fair market value of our U.S. real property interests relative to the fair market value of our other trade or business assets and our foreign real property interests. Though no assurances can be made, we believe we are not currently, and we do not anticipate becoming, a USRPHC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Exercise or expiration of warrants </w:t>
      </w:r>
    </w:p>
    <w:p>
      <w:pPr>
        <w:pStyle w:val="TextBody"/>
        <w:bidi w:val="0"/>
        <w:spacing w:before="120" w:after="0"/>
        <w:jc w:val="left"/>
        <w:rPr>
          <w:rFonts w:ascii="Times New Roman" w:hAnsi="Times New Roman"/>
          <w:sz w:val="20"/>
        </w:rPr>
      </w:pPr>
      <w:r>
        <w:rPr>
          <w:rFonts w:ascii="Times New Roman" w:hAnsi="Times New Roman"/>
          <w:sz w:val="20"/>
        </w:rPr>
        <w:t xml:space="preserve">In general, a non-U.S. Holder will not be required to recognize income, gain or loss upon the exercise of a pre-funded warrant by payment of the exercise price, except to the extent of cash paid in lieu of a fractional share. However, no discussion is provided herein regarding the U.S. federal income tax treatment on the exercise of a pre-funded warrant on a cashless basis, and non-U.S. Holders are urged to consult their tax advisors as to the exercise of a pre-funded warrant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If a pre-funded warrant expires without being exercised, a non-U.S. Holder that is engaged in a U.S. trade or business to which any income from the pre-funded warrant would be effectively connected or who is present in the United States for a period or periods aggregating 183 days or more during the calendar year in which the expiration occurs (and certain other conditions are met) will recognize a capital loss in an amount equal to such non-U.S. Holder’s tax basis in the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dividends (or constructive dividend, if any) on our common stock or pre-funded warrants paid to such holder and the amount of any tax withheld with respect to those dividends (or constructive dividend, if any). These information reporting requirements apply even if no withholding was required because the dividends (or constructive dividend, if any) were effectively connected with the holder’s conduct of a U.S. trade or business, or withholding was reduced or eliminated by an applicable income tax treaty. This information also may be made available under an income tax treaty or other agreement with the tax authorities in the country in which the non-U.S. holder resides or is established. Backup withholding, currently at a 24% rate, generally will not apply to payments to a non-U.S. holder of dividends or on the gross proceeds of a disposition of our common stock or pre-funded warrants provided the non-U.S. holder furnishes the required certification as to its non-U.S. status, such as by providing a valid IRS Form W-8BEN, IRS Form W-8BEN-E, IRS Form W-8EXP or IRS Form W-8ECI, or if certain other requirements are met. Notwithstanding the foregoing,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 non-U.S. holder generally may obtain a refund of any amounts withheld under the backup withholding rules that exceed the non-U.S. holder’s income tax liability by timely filing a refund claim with the Internal Revenue Service. If any amount is withheld under the backup withholding rules, the non-U.S. holder should consult with a U.S. tax advisor regarding the possibility of and procedure for obtaining a refund or a credit against the non-U.S. holder’s U.S. federal income tax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Treasury Regulations issued thereunder (commonly referred to as the Foreign Account Tax Compliance Act, or FATCA) impose a 30% withholding tax on dividends (or constructive dividend, if any) paid on our shares to, and (subject to the proposed Treasury Regulations discussed below) the gross proceeds derived from the sale or other disposition of our shares by, a foreign entity if the foreign entity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“non-financial foreign entity” (as defined under FATCA) that does not provide sufficient documentation, typically on IRS Form W-8BEN-E, evidencing either (i) an exemption from FATCA or (ii) adequate information regarding substantial United States beneficial owners of such entity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Withholding under FATCA generally applies to payments of dividends (or constructive dividend, if any)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REGENXBIO, will determine whether or not to implement gross proceeds FATCA withholding. </w:t>
      </w:r>
    </w:p>
    <w:p>
      <w:pPr>
        <w:pStyle w:val="TextBody"/>
        <w:bidi w:val="0"/>
        <w:spacing w:before="240" w:after="0"/>
        <w:jc w:val="left"/>
        <w:rPr>
          <w:rFonts w:ascii="Times New Roman" w:hAnsi="Times New Roman"/>
          <w:sz w:val="20"/>
        </w:rPr>
      </w:pPr>
      <w:r>
        <w:rPr>
          <w:rFonts w:ascii="Times New Roman" w:hAnsi="Times New Roman"/>
          <w:sz w:val="20"/>
        </w:rPr>
        <w:t xml:space="preserve">If a dividend (or constructive dividend) payment is subject to withholding both under FATCA and the withholding tax rules discussed above under “—Dividends,” the withholding under FATCA may be credited against, and therefore reduce, such other withholding tax. Holders of shares should consult their own tax advisors regarding these requirements and whether they may be relevant to their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133519_9"/>
      <w:bookmarkEnd w:id="12"/>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J.P. Morgan Securities LLC, Leerink Partners LLC and Mizuho Securities USA LLC are acting as representatives, have severally agreed to purchase, and we have agreed to sell to them, severally, the number of shares and pre-funded warrants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44"/>
        <w:gridCol w:w="262"/>
        <w:gridCol w:w="60"/>
        <w:gridCol w:w="1112"/>
        <w:gridCol w:w="60"/>
        <w:gridCol w:w="262"/>
        <w:gridCol w:w="66"/>
        <w:gridCol w:w="1110"/>
        <w:gridCol w:w="63"/>
      </w:tblGrid>
      <w:tr>
        <w:trPr/>
        <w:tc>
          <w:tcPr>
            <w:tcW w:w="394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62"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3944" w:type="dxa"/>
            <w:tcBorders/>
            <w:shd w:fill="CCEEFF" w:val="clear"/>
            <w:vAlign w:val="bottom"/>
          </w:tcPr>
          <w:p>
            <w:pPr>
              <w:pStyle w:val="TableContents"/>
              <w:bidi w:val="0"/>
              <w:spacing w:before="0" w:after="283"/>
              <w:jc w:val="left"/>
              <w:rPr/>
            </w:pPr>
            <w:r>
              <w:rPr/>
              <w:t>Morgan Stanley &amp; Co. LLC</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3,401,323</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377,777</w:t>
            </w:r>
          </w:p>
        </w:tc>
        <w:tc>
          <w:tcPr>
            <w:tcW w:w="63" w:type="dxa"/>
            <w:tcBorders/>
            <w:shd w:fill="CCEEFF" w:val="clear"/>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pPr>
            <w:r>
              <w:rPr/>
              <w:t>J.P. Morgan Securities LLC</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3,201,244</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355,556</w:t>
            </w:r>
          </w:p>
        </w:tc>
        <w:tc>
          <w:tcPr>
            <w:tcW w:w="63" w:type="dxa"/>
            <w:tcBorders/>
            <w:vAlign w:val="bottom"/>
          </w:tcPr>
          <w:p>
            <w:pPr>
              <w:pStyle w:val="TableContents"/>
              <w:bidi w:val="0"/>
              <w:spacing w:before="0" w:after="283"/>
              <w:jc w:val="left"/>
              <w:rPr/>
            </w:pPr>
            <w:r>
              <w:rPr/>
              <w:t> </w:t>
            </w:r>
          </w:p>
        </w:tc>
      </w:tr>
      <w:tr>
        <w:trPr/>
        <w:tc>
          <w:tcPr>
            <w:tcW w:w="3944" w:type="dxa"/>
            <w:tcBorders/>
            <w:shd w:fill="CCEEFF" w:val="clear"/>
            <w:vAlign w:val="bottom"/>
          </w:tcPr>
          <w:p>
            <w:pPr>
              <w:pStyle w:val="TableContents"/>
              <w:bidi w:val="0"/>
              <w:spacing w:before="0" w:after="283"/>
              <w:jc w:val="left"/>
              <w:rPr/>
            </w:pPr>
            <w:r>
              <w:rPr/>
              <w:t>Leerink Partners LLC</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2,701,050</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300,000</w:t>
            </w:r>
          </w:p>
        </w:tc>
        <w:tc>
          <w:tcPr>
            <w:tcW w:w="63" w:type="dxa"/>
            <w:tcBorders/>
            <w:shd w:fill="CCEEFF" w:val="clear"/>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pPr>
            <w:r>
              <w:rPr/>
              <w:t>Mizuho Securities USA LLC</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700,272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77,778</w:t>
            </w:r>
          </w:p>
        </w:tc>
        <w:tc>
          <w:tcPr>
            <w:tcW w:w="63" w:type="dxa"/>
            <w:tcBorders/>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10,003,889</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1,111,111</w:t>
            </w:r>
          </w:p>
        </w:tc>
        <w:tc>
          <w:tcPr>
            <w:tcW w:w="63" w:type="dxa"/>
            <w:tcBorders/>
            <w:shd w:fill="CCEEFF" w:val="clear"/>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and pre-funded warrants subject to their acceptance of the shares and warrants from us and subject to prior sale. The underwriting agreement provides that the obligations of the several underwriters to pay for and accept delivery of the shares of common stock and pre-funded warrants offered by this prospectus supplement are subject to the approval of certain legal matters by their counsel and to certain other conditions. The underwriters are obligated to take and pay for all of the shares of common stock and pre-funded warrants offered by this prospectus supplement if any such shares are taken.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shares of common stock and pre-funded warrants directly to the public at the offering price listed on the cover page of this prospectus supplement and part to certain dealers at a price that represents a concession not in excess of $0.324 per share or per pre-funded warrant under the public offering price. After the initial offering of the shares of common stock, the offering price and other selling terms may from time to time be varied by the representatives. The offering of the shares or pre-funded warrants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1,667,250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substantially the same percentage of the additional shares of common stock as the number listed next to such underwriter’s name in the preceding table bears to the total number of shares of common stock listed next to the names of all underwriters in the preceding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per warrant and total public offering price, underwriting discounts and commissions, and proceeds before expenses to us. These amounts are shown assuming both no exercise and full exercise of the underwriters’ option to purchase up to an additional 1,667,250 shares of common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9"/>
        <w:gridCol w:w="150"/>
        <w:gridCol w:w="251"/>
        <w:gridCol w:w="852"/>
        <w:gridCol w:w="60"/>
        <w:gridCol w:w="150"/>
        <w:gridCol w:w="111"/>
        <w:gridCol w:w="1589"/>
        <w:gridCol w:w="60"/>
        <w:gridCol w:w="150"/>
        <w:gridCol w:w="60"/>
        <w:gridCol w:w="1431"/>
        <w:gridCol w:w="60"/>
        <w:gridCol w:w="150"/>
        <w:gridCol w:w="60"/>
        <w:gridCol w:w="1430"/>
        <w:gridCol w:w="65"/>
      </w:tblGrid>
      <w:tr>
        <w:trPr/>
        <w:tc>
          <w:tcPr>
            <w:tcW w:w="275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59"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10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7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w:t>
            </w:r>
          </w:p>
        </w:tc>
        <w:tc>
          <w:tcPr>
            <w:tcW w:w="60" w:type="dxa"/>
            <w:vMerge w:val="restart"/>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1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759"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10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0" w:type="dxa"/>
            <w:vMerge w:val="continue"/>
            <w:tcBorders>
              <w:bottom w:val="single" w:sz="8" w:space="0" w:color="000000"/>
            </w:tcBorders>
            <w:tcMar>
              <w:bottom w:w="28" w:type="dxa"/>
            </w:tcMar>
            <w:vAlign w:val="bottom"/>
          </w:tcPr>
          <w:p>
            <w:pPr>
              <w:pStyle w:val="Normal"/>
              <w:bidi w:val="0"/>
              <w:jc w:val="left"/>
              <w:rPr/>
            </w:pPr>
            <w:r>
              <w:rPr/>
            </w:r>
          </w:p>
        </w:tc>
        <w:tc>
          <w:tcPr>
            <w:tcW w:w="17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0"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5" w:type="dxa"/>
            <w:tcBorders/>
            <w:vAlign w:val="bottom"/>
          </w:tcPr>
          <w:p>
            <w:pPr>
              <w:pStyle w:val="TableContents"/>
              <w:bidi w:val="0"/>
              <w:spacing w:before="0" w:after="283"/>
              <w:jc w:val="left"/>
              <w:rPr/>
            </w:pPr>
            <w:r>
              <w:rPr/>
              <w:t> </w:t>
            </w:r>
          </w:p>
        </w:tc>
      </w:tr>
      <w:tr>
        <w:trPr/>
        <w:tc>
          <w:tcPr>
            <w:tcW w:w="2759" w:type="dxa"/>
            <w:tcBorders/>
            <w:shd w:fill="CCEEFF" w:val="clear"/>
            <w:vAlign w:val="bottom"/>
          </w:tcPr>
          <w:p>
            <w:pPr>
              <w:pStyle w:val="TableContents"/>
              <w:bidi w:val="0"/>
              <w:spacing w:before="0" w:after="283"/>
              <w:jc w:val="left"/>
              <w:rPr/>
            </w:pPr>
            <w:r>
              <w:rPr/>
              <w:t>Public offering price</w:t>
            </w:r>
          </w:p>
        </w:tc>
        <w:tc>
          <w:tcPr>
            <w:tcW w:w="15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$8.9999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$100,034,889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$115,040,139</w:t>
            </w:r>
          </w:p>
        </w:tc>
        <w:tc>
          <w:tcPr>
            <w:tcW w:w="65" w:type="dxa"/>
            <w:tcBorders/>
            <w:shd w:fill="CCEEFF" w:val="clear"/>
            <w:vAlign w:val="bottom"/>
          </w:tcPr>
          <w:p>
            <w:pPr>
              <w:pStyle w:val="TableContents"/>
              <w:bidi w:val="0"/>
              <w:spacing w:before="0" w:after="283"/>
              <w:jc w:val="left"/>
              <w:rPr/>
            </w:pPr>
            <w:r>
              <w:rPr/>
              <w:t> </w:t>
            </w:r>
          </w:p>
        </w:tc>
      </w:tr>
      <w:tr>
        <w:trPr/>
        <w:tc>
          <w:tcPr>
            <w:tcW w:w="2759" w:type="dxa"/>
            <w:tcBorders/>
            <w:vAlign w:val="bottom"/>
          </w:tcPr>
          <w:p>
            <w:pPr>
              <w:pStyle w:val="TableContents"/>
              <w:bidi w:val="0"/>
              <w:spacing w:before="0" w:after="283"/>
              <w:jc w:val="left"/>
              <w:rPr/>
            </w:pPr>
            <w:r>
              <w:rPr/>
              <w:t>Underwriting discounts and commissions</w:t>
            </w:r>
          </w:p>
        </w:tc>
        <w:tc>
          <w:tcPr>
            <w:tcW w:w="15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0.54</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$0.5400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$  6,002,100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$  6,902,415</w:t>
            </w:r>
          </w:p>
        </w:tc>
        <w:tc>
          <w:tcPr>
            <w:tcW w:w="65" w:type="dxa"/>
            <w:tcBorders/>
            <w:vAlign w:val="bottom"/>
          </w:tcPr>
          <w:p>
            <w:pPr>
              <w:pStyle w:val="TableContents"/>
              <w:bidi w:val="0"/>
              <w:spacing w:before="0" w:after="283"/>
              <w:jc w:val="left"/>
              <w:rPr/>
            </w:pPr>
            <w:r>
              <w:rPr/>
              <w:t> </w:t>
            </w:r>
          </w:p>
        </w:tc>
      </w:tr>
      <w:tr>
        <w:trPr/>
        <w:tc>
          <w:tcPr>
            <w:tcW w:w="2759" w:type="dxa"/>
            <w:tcBorders/>
            <w:shd w:fill="CCEEFF" w:val="clear"/>
            <w:vAlign w:val="bottom"/>
          </w:tcPr>
          <w:p>
            <w:pPr>
              <w:pStyle w:val="TableContents"/>
              <w:bidi w:val="0"/>
              <w:spacing w:before="0" w:after="283"/>
              <w:jc w:val="left"/>
              <w:rPr/>
            </w:pPr>
            <w:r>
              <w:rPr/>
              <w:t>Proceeds, before expenses, to us</w:t>
            </w:r>
          </w:p>
        </w:tc>
        <w:tc>
          <w:tcPr>
            <w:tcW w:w="15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8.46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$8.4599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$ 94,032,789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$108,137,724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$350,000. We have agreed to reimburse the underwriters for expense relating to clearance of this offering with the Financial Industry Regulatory Authority up to $5,000. In accordance with FINRA Rule 5110, the reimbursed fee is deemed underwriting compensation for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trading symbol “RGNX.” We do not intend to list the pre-funded warrants on Nasdaq, any other nationally recognized securities exchange or any other nationally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We and all directors and officers and their affiliates have agreed that, without the prior written consent of Morgan Stanley &amp; Co. LLC (“Morgan Stanley”), J.P. Morgan Securities LLC (“J.P. Morgan”) and Leerink Partners LLC (“Leerink Partners”), on behalf of the underwriters, we and they will not, during the period ending 60 days after the date of this prospectus supplement, or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agreed that, without the prior written consent of Morgan Stanley, J.P. Morgan and Leerink Partners, on behalf of the underwriters, we will not, during the restricted period, file any registration statement with the SEC relating to the offering of any shares of common stock or any securities convertible into or exercisable or exchangeable for common stock, and each of our directors and officers and their affiliates has agreed that, without the prior written consent of Morgan Stanley, J.P. Morgan and Leerink Partners, on behalf of the underwriters, he, she or it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as a bona fide gift including without limitation to a charitable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distributions of shares of common stock or any security convertible into or exercisable or exchangeable for common stock to limited partners, general partners, managers, directors, officers, employees, members, stockholders or trust beneficiaries or to any controlled investment fund or other entity, including transfers or distributions of such securities to a fund managed by the same manager or managing member or general partner or management company or by an entity controlling, controlled by, or under common control with such manager or managing member or general partner or managing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common stock by will or other testamentary document or by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any trust for the direct or indirect benefit of immediate family members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common stock acquired in open market transactions after the completion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options to purchase shares of common stock granted under a stock incentive plan or stock purchase plan described in this prospectus supplement or the exercise of warrants to purchase shares of common stock (or any security convertible into or exercisable or exchangeable for common stock) described in this prospectus supplement and outstanding as of the date of this prospectus supplement, provided that the underlying common stock continues to be subject to the restrictions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options to purchase shares of common stock granted under a stock incentive plan or stock purchase plan described in this prospectus supplement pursuant to an arrangement whereby we withhold shares issuable pursuant to such option in payment of the exercise price, provided that the underlying common stock continues to be subject to the restrictions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common stock or any security convertible into or exchangeable for common stock that occurs by operation of law pursuant to a qualified domestic order or in connection with a divorce settlement or other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that satisfies the requirements of Rule 10b5-1 under the Exchange Act for the transfer of shares of common stock, provided that (x) no filing under Section 16(a) of the Exchange Act reporting a reduction in beneficial ownership of shares of common stock shall be voluntarily made during the restricted period and (y) to the extent a filing under Section 16(a) of the Exchange Act is required during the restricted period as a result of transfers under this bullet point, it shall clearly indicate that the filing relates to the circumstance described in this bullet point, including that the securities remain subject to the terms of the these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to us of common stock upon a vesting event or upon the exercise of options or warrants to purchase common stock, in each case on a “cashless” or “net exercise” basis or to cover tax withholding obligations in connection with such vesting or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in connection with a bona fide third party tender offer, merger, consolidation or other similar transaction that is approved by our board of directors, made to all holders of our common stock involving a change of control occurring after the closing of this offering, provided that in the event that the tender offer, merger, consolidation or other such transaction is not completed, the common stock shall remain subject to the restrictions in the immediately preceding paragraph;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up to 2,143,552 shares in the aggregate of common stock pursuant to any contract, instruction or plan that satisfies the requirements of Rule 10b5-1 under the Exchange Act that has been entered into prior to the date of this offering, provided that to the extent a public announcement or filing under the Exchange Act is required of such plan, such announcement or filing shall include a statement to the effect that the transfer was pursuant to an existing 10b5-1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further that (i) in the case of any transfer or distribution as described in the first, second, third, fourth or eighth bullet point above, the recipient shall agree to be subject to the restrictions described in the immediately preceding paragraph and (ii) in the case of any transfer or distribution described in the second, fourth, fifth, seventh or eighth bullet point above, no filing under Section 16(a) of the Exchange Act, reporting a reduction in beneficial ownership of shares of common stock, will be required or will be voluntarily made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restrictions described in the paragraph above relating to us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issuance of shares of common stock or securities convertible into or exercisable for shares of common stock upon the exercise of an option or warrant or the conversion or vesting of a security outstanding on the date of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issuance of shares of common stock or other securities convertible into or exercisable for shares of common stock pursuant to our equity incentive plans described in this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we may sell or issue or agree to sell or issue, or that may be issuable upon conversion or exercise of all other securities that we may sell or issue or agree to sell or issue, pursuant to this exception shall not exceed 5% of the total number of shares of common stock issued and outstanding immediately following the completion of this offering, and provided further, that each recipient of shares or other securities issued pursuant to this exception shall be subject to the restrictions described in the paragraph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J.P. Morgan and Leerink Partners, in their sole discretion, may release the common stock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common stock and pre-funded warrants,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Leerink Partners LLC pursuant to which we may offer and sell shares of our common stock having an aggregate offering price of up to $150.0 million from time to time in “at-the-market” offerings.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or pre-funded warrants have been offered or will be offered pursuant to the offering to the public in that Relevant 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EU Prospectus Regulation, except that shares or pre-funded warrants may be offered to the public in that Relevant State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EU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EU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no such offer of shares or pre-funded warrants shall require us or any underwriter to publish a prospectus pursuant to Article 3 of the EU Prospectus Regulation or supplement a prospectus pursuant to Article 23 of the EU Prospectus Regulation and each person who initially acquires any shares or to whom any offer is made will be deemed to have represented, acknowledged and agreed to and with us and each of the underwriters that it is a “qualified investor” within the meaning of Article 2(e) of the EU Prospectus Regulation. In the case of any shares or pre-funded warrants being offered to a financial intermediary as that term is used in the EU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or pre-funded warrants in any Relevant State means the communication in any form and by any means of sufficient information on the terms of the offer and any shares or pre-funded warrants to be offered so as to enable an investor to decide to purchase or subscribe for any shares, and the expression “EU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or pre-funded warrants may be offered or sold in the United Kingdom by means of this prospectus supplement or any other document, except in circumstances which do not require the publication of a prospectus pursuant to Part 1 of Schedule 1 to the United Kingdom’s Public Offers and Admissions to Trading Regulations 2024 (“POATR”).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only being distributed to, and is only directed at, persons in the United Kingdom that are qualified investors (as defined in paragraph 15 of Schedule 1 of the POATR) that are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investment professionals falling within Article 19(5) of the Financial Services and Markets Act 2000 (Financial Promotion) Order 2005 (as amended, the “Order”) being persons who have professional experience in matters relating to investments, and/or (ii) high net worth entities falling within Article 49(2)(a) to (d) of the Order and other persons to whom it may lawfully be communicated or caused to be communicated. Each such person is referred to herein as a “Relevant Person.”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Financial Services and Markets Act 2000 (the “FSMA”)) may only be communicated or caused to be communicated in connection with the issue or sale of the shares in circumstances in which Section 21(1) of the FSMA does not apply. All applicable provisions of the FSMA must be complied with in respect of anything done by any person in relation to the shares in, from or otherwise involving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the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or pre-funded warrants may only be made to persons, referred to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or pre-funded warrants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or pre-funded warrants must be made in accordance with an exemption from, or in a transaction not subject to, the prospectus requirements of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Law, DIFC Law No. 1 of 2012, as amended. This document is intended for distribution only to persons of a type specified in the Markets Law, DIFC Law No. 1 of 2012, as amended. This prospectus supplement is intended for distribution only to persons of a type specified in the Markets Law, DIFC Law No. 1 of 2012 of the Dubai Financial Services Authority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shares or pre-funded warrants may not be circulated or distributed, nor may the shares or pre-funded warrants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or pre-funded warrants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under Section 274 of the SFA or to a relevant person defined in Section 275(2) of the SFA,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the shares, the Issuer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our shares. No shares or pre-funded warrants have been offered or will be offered to the public in Switzerland, except that offers of shares or pre-funded warrants may be made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in Switzerland at any time under the following exemptions under the Swiss Financial Services Act (“FinSA”): </w:t>
      </w:r>
    </w:p>
    <w:p>
      <w:pPr>
        <w:pStyle w:val="TextBody"/>
        <w:bidi w:val="0"/>
        <w:spacing w:before="240" w:after="0"/>
        <w:jc w:val="left"/>
        <w:rPr>
          <w:rFonts w:ascii="Times New Roman" w:hAnsi="Times New Roman"/>
          <w:sz w:val="20"/>
        </w:rPr>
      </w:pPr>
      <w:r>
        <w:rPr>
          <w:rFonts w:ascii="Times New Roman" w:hAnsi="Times New Roman"/>
          <w:sz w:val="20"/>
        </w:rPr>
        <w:t xml:space="preserve">(a) to any person which is a professional client as defined under the FinSA;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500 persons (other than professional clients as defined under the FinSA), subject to obtaining the prior consent of the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36 FinSA in connection with Article 44 of the Swiss Financial Services Ordinance,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or pre-funded warrants shall require us or any of the underwriters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and the pre-funded warrants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shares or pre-funded warrants constitutes a prospectus pursuant to the FinSA, and neither this prospectus supplement nor any other offering or marketing material relating to the shares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133519_10"/>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and pre-funded warrants offered hereby and certain legal matters in connection with this offering will be passed upon by Covington &amp; Burling LLP, Washington, D.C. Certain legal matters related to this offering will be passed upon for the underwriters by Davis Polk &amp; Wardwell LLP, New York, New York. </w:t>
      </w:r>
    </w:p>
    <w:p>
      <w:pPr>
        <w:pStyle w:val="TextBody"/>
        <w:bidi w:val="0"/>
        <w:spacing w:before="480" w:after="0"/>
        <w:jc w:val="center"/>
        <w:rPr>
          <w:rFonts w:ascii="Times New Roman" w:hAnsi="Times New Roman"/>
          <w:b/>
          <w:sz w:val="20"/>
        </w:rPr>
      </w:pPr>
      <w:bookmarkStart w:id="14" w:name="s133519_11"/>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133519_12"/>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and information statements and other information with the SEC. Our SEC filings are available without charge on our website, www.regenxbio.com, and the SEC’s website, www.sec.gov as soon as reasonably practicable after we file them with, or furnish them to, the SEC. You also may obtain, free of charge, a copy of any of these documents (other than exhibits to these documents unless the exhibits are specifically incorporated by reference into these documents or referred to in this prospectus supplement) by writing or calling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REGENXBIO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9804 Medical Center Drive Rockville, MD 20850 </w:t>
      </w:r>
    </w:p>
    <w:p>
      <w:pPr>
        <w:pStyle w:val="TextBody"/>
        <w:bidi w:val="0"/>
        <w:spacing w:before="0" w:after="0"/>
        <w:jc w:val="center"/>
        <w:rPr>
          <w:rFonts w:ascii="Times New Roman" w:hAnsi="Times New Roman"/>
          <w:sz w:val="20"/>
        </w:rPr>
      </w:pPr>
      <w:r>
        <w:rPr>
          <w:rFonts w:ascii="Times New Roman" w:hAnsi="Times New Roman"/>
          <w:sz w:val="20"/>
        </w:rPr>
        <w:t xml:space="preserve">(240) 552-8181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133519_13"/>
      <w:bookmarkEnd w:id="16"/>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the information contained in documents that we file with it, which means that we can disclose important information to you by referring you to those documents. The information incorporated by reference is an important part of this prospectus supplement, and information that we subsequently file with the SEC will automatically update and supersede this information. The following documents that we previously filed with the SEC (File No. 001-37553)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4">
              <w:r>
                <w:rPr>
                  <w:rStyle w:val="InternetLink"/>
                  <w:rFonts w:ascii="Times New Roman" w:hAnsi="Times New Roman"/>
                  <w:sz w:val="20"/>
                </w:rPr>
                <w:t>Quarterly Report on Form 10-Q</w:t>
              </w:r>
            </w:hyperlink>
            <w:r>
              <w:rPr>
                <w:rFonts w:ascii="Times New Roman" w:hAnsi="Times New Roman"/>
                <w:sz w:val="20"/>
              </w:rPr>
              <w:t xml:space="preserve"> for the quarter ended March 31, 2026, filed with the SEC on May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28, 2026</w:t>
              </w:r>
            </w:hyperlink>
            <w:r>
              <w:rPr>
                <w:rFonts w:ascii="Times New Roman" w:hAnsi="Times New Roman"/>
                <w:sz w:val="20"/>
              </w:rPr>
              <w:t xml:space="preserve">, </w:t>
            </w:r>
            <w:hyperlink r:id="rId6">
              <w:r>
                <w:rPr>
                  <w:rStyle w:val="InternetLink"/>
                  <w:rFonts w:ascii="Times New Roman" w:hAnsi="Times New Roman"/>
                  <w:sz w:val="20"/>
                </w:rPr>
                <w:t>February 10, 2026</w:t>
              </w:r>
            </w:hyperlink>
            <w:r>
              <w:rPr>
                <w:rFonts w:ascii="Times New Roman" w:hAnsi="Times New Roman"/>
                <w:sz w:val="20"/>
              </w:rPr>
              <w:t xml:space="preserve"> (Item  8.01 only), </w:t>
            </w:r>
            <w:hyperlink r:id="rId7">
              <w:r>
                <w:rPr>
                  <w:rStyle w:val="InternetLink"/>
                  <w:rFonts w:ascii="Times New Roman" w:hAnsi="Times New Roman"/>
                  <w:sz w:val="20"/>
                </w:rPr>
                <w:t>March  20, 2026</w:t>
              </w:r>
            </w:hyperlink>
            <w:r>
              <w:rPr>
                <w:rFonts w:ascii="Times New Roman" w:hAnsi="Times New Roman"/>
                <w:sz w:val="20"/>
              </w:rPr>
              <w:t xml:space="preserve">, </w:t>
            </w:r>
            <w:hyperlink r:id="rId8">
              <w:r>
                <w:rPr>
                  <w:rStyle w:val="InternetLink"/>
                  <w:rFonts w:ascii="Times New Roman" w:hAnsi="Times New Roman"/>
                  <w:sz w:val="20"/>
                </w:rPr>
                <w:t>May 14, 2026</w:t>
              </w:r>
            </w:hyperlink>
            <w:r>
              <w:rPr>
                <w:rFonts w:ascii="Times New Roman" w:hAnsi="Times New Roman"/>
                <w:sz w:val="20"/>
              </w:rPr>
              <w:t xml:space="preserve"> (Item  8.01 only), </w:t>
            </w:r>
            <w:hyperlink r:id="rId9">
              <w:r>
                <w:rPr>
                  <w:rStyle w:val="InternetLink"/>
                  <w:rFonts w:ascii="Times New Roman" w:hAnsi="Times New Roman"/>
                  <w:sz w:val="20"/>
                </w:rPr>
                <w:t>June  3, 2026</w:t>
              </w:r>
            </w:hyperlink>
            <w:r>
              <w:rPr>
                <w:rFonts w:ascii="Times New Roman" w:hAnsi="Times New Roman"/>
                <w:sz w:val="20"/>
              </w:rPr>
              <w:t xml:space="preserve"> and </w:t>
            </w:r>
            <w:hyperlink r:id="rId10">
              <w:r>
                <w:rPr>
                  <w:rStyle w:val="InternetLink"/>
                  <w:rFonts w:ascii="Times New Roman" w:hAnsi="Times New Roman"/>
                  <w:sz w:val="20"/>
                </w:rPr>
                <w:t>June 29,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the description of our common stock set forth in</w:t>
            </w:r>
            <w:hyperlink r:id="rId11">
              <w:r>
                <w:rPr>
                  <w:rStyle w:val="InternetLink"/>
                  <w:rFonts w:ascii="Times New Roman" w:hAnsi="Times New Roman"/>
                  <w:sz w:val="20"/>
                </w:rPr>
                <w:t> Exhibit 4.2</w:t>
              </w:r>
            </w:hyperlink>
            <w:r>
              <w:rPr>
                <w:rFonts w:ascii="Times New Roman" w:hAnsi="Times New Roman"/>
                <w:sz w:val="20"/>
              </w:rPr>
              <w:t xml:space="preserve"> to 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13, 2025, and all amendments and reports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that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time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as further supplemented may contain information that updates, modifies or is contrary to information herein or in one or more of the documents incorporated by reference in this prospectus supplement or the accompanying prospectus. You should rely only on the information incorporated by reference or provided in this prospectus supplement and accompanying prospectus. We have not authorized anyone else to provide you with different information. You should not assume that the information in this prospectus supplement and the accompanying prospectus is accurate as of any date other than the date of this prospectus supplement, the date of the accompanying prospectus or the date of the documents incorporated by reference in this prospectus supplement and the accompanying 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28"/>
        </w:rPr>
      </w:pPr>
      <w:r>
        <w:rPr>
          <w:rFonts w:ascii="Times New Roman" w:hAnsi="Times New Roman"/>
          <w:b/>
          <w:sz w:val="28"/>
        </w:rPr>
        <w:t xml:space="preserve">$300,000,000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5450" cy="5607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4235450" cy="5607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Rights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from time to time, in one or more offerings, up to $300,000,000 of our (i) shares of common stock, (ii) shares of preferred stock, (iii) warrants to purchase common stock, preferred stock or debt securities, (iv) debt securities, (v) rights to purchase common stock, preferred stock, debt securities or units and (vi) units that include any of these securities. We may sell any combination of these securities in one or more offerings in amounts,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and sold in the same offering or separate offerings directly or to or through underwriters or dealers, and also to other purchasers or through agents. The names of any underwriters or agents that are included in a sale of securities to you, and any applicable commissions or discounts, will be stated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“RGNX.” On November 25, 2025, the closing price of our common stock was $13.45.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significant risks. Before buying our securities, you should carefully read and consider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w:t>
      </w:r>
      <w:hyperlink w:anchor="tx133519_5">
        <w:r>
          <w:rPr>
            <w:rStyle w:val="InternetLink"/>
            <w:rFonts w:ascii="Times New Roman" w:hAnsi="Times New Roman"/>
            <w:b/>
            <w:sz w:val="24"/>
          </w:rPr>
          <w:t>Risk Factors</w:t>
        </w:r>
      </w:hyperlink>
      <w:r>
        <w:rPr>
          <w:rFonts w:ascii="Times New Roman" w:hAnsi="Times New Roman"/>
          <w:b/>
          <w:sz w:val="24"/>
        </w:rPr>
        <w:t xml:space="preserve">” beginning on page 3 of this prospectus. </w:t>
      </w:r>
    </w:p>
    <w:p>
      <w:pPr>
        <w:pStyle w:val="TextBody"/>
        <w:bidi w:val="0"/>
        <w:spacing w:before="240" w:after="0"/>
        <w:jc w:val="left"/>
        <w:rPr>
          <w:rFonts w:ascii="Times New Roman" w:hAnsi="Times New Roman"/>
          <w:sz w:val="20"/>
        </w:rPr>
      </w:pPr>
      <w:r>
        <w:rPr>
          <w:rFonts w:ascii="Times New Roman" w:hAnsi="Times New Roman"/>
          <w:b/>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December 12,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33519_1">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2">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0">
              <w:r>
                <w:rPr>
                  <w:rStyle w:val="InternetLink"/>
                  <w:rFonts w:ascii="Times New Roman" w:hAnsi="Times New Roman"/>
                  <w:sz w:val="20"/>
                </w:rPr>
                <w:t>DESCRIPTION OF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33519_1"/>
      <w:bookmarkEnd w:id="18"/>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within the meaning of Section 27A of the Securities Act of 1933, as amended (the “Securities Act”), and Section 21E of the Securities Exchange Act of 1934, as amended (the “Exchange Act”), which are subject to the safe harbor created by those sections for such statements.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development partnerships, including our collaboration with AbbVie Inc. to develop and commercialize ABBV-RGX-314 and our collaboration with Nippon Shinyaku Co., Ltd. to develop and commercialize RGX-121 and RGX-111;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including under accelerated approval, and maintain regulatory approval of our product candidates, and the labeling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enrollment, commencement, completion and the success of our AAVIATE®, AFFINITY BEYOND®, AFFINITY DUCHENNE®, ALTITUDE®, ASCENT, ATMOSPHERE®, CAMPSIITE® and other clinical trials, including for diabetic retinopathy;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and completion and the success of preclinical studies conducted by us and our development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timely development and launch of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expansion and costs of developing and commercializing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product candidates and technology, and defend against third-party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and commercialization of product candidates currently being developed by third parties that utilize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trends and challenges in our business and the market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or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our product candidates and the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any of our products that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expenses and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need for additional financing and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outcome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regulatory developments in the United States and foreign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government-imposed tariffs or other trade barriers on cost of goods and services, particularly related to partnered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markets and banking system that may affect the availability and terms on which we may obtain financing and our ability to accurately predict how long our existing cash resources will be sufficient to fund our anticipated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the section of this prospectus and the applicable prospectus supplement entitled “Risk Factors” as well as the “Risk Factors” and “Management’s Discussion and Analysis of Financial Condition and Results of Operations” sections included in our filings with the SEC that are incorporated herein by reference for a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Any forward-looking statement made by us in this prospectus and the information incorporated by reference herein speaks only as of the date of the respective document. Except as required by law, we disclaim any duty to update or revise any of these forward-looking statements after the date such statements are made, or to update the reasons actual results could differ materially from those anticipated in these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33519_2"/>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using a shelf registration process. Under this shelf registration process, we may, from time to time, offer or sell any combination of the securities described in this prospectus in one or more offerings, up to a total amount of $300,000,000.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under this registration statement, we will describe in a prospectus supplement, which will be delivered with this prospectus, specific information about the offering and the terms of the particular securities offered.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 For more detailed information about the securities, you can also read the exhibits to the registration statement. Those exhibits have been either filed with the registration statement or incorporated by reference to earlier SEC filings listed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you with information in addition to or different from that contained in this prospectus or any applicable prospectus supplement. We take no responsibility for, and can provide no assurance as to the reliability of, any information that others may provide. We will be offering to sell, and seeking offers to buy, our securities only in jurisdictions where offers and sales are permitted. You should not assume that the information in this prospectus, any applicable prospectus supplement or any free writing prospectus that we have prepared or authorized is accurate as of any date other than the date of those documents, and that any information in documents that we have incorporated by reference is accurate only as of the date of such document, regardless of the time of delivery of this prospectus or any prospectus supplement or the sale of any security hereunder.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throughout this prospectus and any applicable prospectus supplement, the words “REGENXBIO,” “we,” or “us” refer to REGENXBIO Inc. and the term “securities” refers collectively to the securities registered hereunder or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AAVIATE, AFFINITY BEYOND, AFFINITY DUCHENNE, ALTITUDE, ATMOSPHERE, CAMPSIITE, NAV, NAVXpress, NAVXcell, REGENXBIO and the REGENXBIO logos are our registered trademarks. Any other trademarks appearing in this prospectus are the property of their respective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33519_3"/>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and information statements and other information with the SEC. Our SEC filings are available to the public on the SEC’s website,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documents that we file with it, which means that we can disclose important information to you by referring you to those documents. The information incorporated by reference is an important part of this prospectus, and information that we subsequently file with the SEC will automatically update and supersede this information. The following documents that we previously filed with the SEC (File No. 001-37553)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Annual Report on Form 10-K</w:t>
              </w:r>
            </w:hyperlink>
            <w:r>
              <w:rPr>
                <w:rFonts w:ascii="Times New Roman" w:hAnsi="Times New Roman"/>
                <w:sz w:val="20"/>
              </w:rPr>
              <w:t xml:space="preserve"> for the year ended December 31, 2024, filed with the SEC on March 13,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5">
              <w:r>
                <w:rPr>
                  <w:rStyle w:val="InternetLink"/>
                  <w:rFonts w:ascii="Times New Roman" w:hAnsi="Times New Roman"/>
                  <w:sz w:val="20"/>
                </w:rPr>
                <w:t>March 31, 2025</w:t>
              </w:r>
            </w:hyperlink>
            <w:r>
              <w:rPr>
                <w:rFonts w:ascii="Times New Roman" w:hAnsi="Times New Roman"/>
                <w:sz w:val="20"/>
              </w:rPr>
              <w:t xml:space="preserve">, </w:t>
            </w:r>
            <w:hyperlink r:id="rId16">
              <w:r>
                <w:rPr>
                  <w:rStyle w:val="InternetLink"/>
                  <w:rFonts w:ascii="Times New Roman" w:hAnsi="Times New Roman"/>
                  <w:sz w:val="20"/>
                </w:rPr>
                <w:t>June  30, 2025</w:t>
              </w:r>
            </w:hyperlink>
            <w:r>
              <w:rPr>
                <w:rFonts w:ascii="Times New Roman" w:hAnsi="Times New Roman"/>
                <w:sz w:val="20"/>
              </w:rPr>
              <w:t xml:space="preserve">, and </w:t>
            </w:r>
            <w:hyperlink r:id="rId17">
              <w:r>
                <w:rPr>
                  <w:rStyle w:val="InternetLink"/>
                  <w:rFonts w:ascii="Times New Roman" w:hAnsi="Times New Roman"/>
                  <w:sz w:val="20"/>
                </w:rPr>
                <w:t>September 30, 2025</w:t>
              </w:r>
            </w:hyperlink>
            <w:r>
              <w:rPr>
                <w:rFonts w:ascii="Times New Roman" w:hAnsi="Times New Roman"/>
                <w:sz w:val="20"/>
              </w:rPr>
              <w:t xml:space="preserve">, filed with the SEC on May 12, 2025, August 7, 2025, and November 6, 2025,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January 14, 2025</w:t>
              </w:r>
            </w:hyperlink>
            <w:r>
              <w:rPr>
                <w:rFonts w:ascii="Times New Roman" w:hAnsi="Times New Roman"/>
                <w:sz w:val="20"/>
              </w:rPr>
              <w:t xml:space="preserve"> (Item 1.01 only), </w:t>
            </w:r>
            <w:hyperlink r:id="rId19">
              <w:r>
                <w:rPr>
                  <w:rStyle w:val="InternetLink"/>
                  <w:rFonts w:ascii="Times New Roman" w:hAnsi="Times New Roman"/>
                  <w:sz w:val="20"/>
                </w:rPr>
                <w:t>March  4, 2025</w:t>
              </w:r>
            </w:hyperlink>
            <w:r>
              <w:rPr>
                <w:rFonts w:ascii="Times New Roman" w:hAnsi="Times New Roman"/>
                <w:sz w:val="20"/>
              </w:rPr>
              <w:t xml:space="preserve"> (Item 8.01 only), </w:t>
            </w:r>
            <w:hyperlink r:id="rId20">
              <w:r>
                <w:rPr>
                  <w:rStyle w:val="InternetLink"/>
                  <w:rFonts w:ascii="Times New Roman" w:hAnsi="Times New Roman"/>
                  <w:sz w:val="20"/>
                </w:rPr>
                <w:t>May  19, 2025</w:t>
              </w:r>
            </w:hyperlink>
            <w:r>
              <w:rPr>
                <w:rFonts w:ascii="Times New Roman" w:hAnsi="Times New Roman"/>
                <w:sz w:val="20"/>
              </w:rPr>
              <w:t xml:space="preserve"> (Items 1.01 and 2.03 only), </w:t>
            </w:r>
            <w:hyperlink r:id="rId21">
              <w:r>
                <w:rPr>
                  <w:rStyle w:val="InternetLink"/>
                  <w:rFonts w:ascii="Times New Roman" w:hAnsi="Times New Roman"/>
                  <w:sz w:val="20"/>
                </w:rPr>
                <w:t>June  3, 2025</w:t>
              </w:r>
            </w:hyperlink>
            <w:r>
              <w:rPr>
                <w:rFonts w:ascii="Times New Roman" w:hAnsi="Times New Roman"/>
                <w:sz w:val="20"/>
              </w:rPr>
              <w:t xml:space="preserve">, </w:t>
            </w:r>
            <w:hyperlink r:id="rId22">
              <w:r>
                <w:rPr>
                  <w:rStyle w:val="InternetLink"/>
                  <w:rFonts w:ascii="Times New Roman" w:hAnsi="Times New Roman"/>
                  <w:sz w:val="20"/>
                </w:rPr>
                <w:t>August 7, 2025</w:t>
              </w:r>
            </w:hyperlink>
            <w:r>
              <w:rPr>
                <w:rFonts w:ascii="Times New Roman" w:hAnsi="Times New Roman"/>
                <w:sz w:val="20"/>
              </w:rPr>
              <w:t xml:space="preserve"> (Item  1.01 only) and </w:t>
            </w:r>
            <w:hyperlink r:id="rId23">
              <w:r>
                <w:rPr>
                  <w:rStyle w:val="InternetLink"/>
                  <w:rFonts w:ascii="Times New Roman" w:hAnsi="Times New Roman"/>
                  <w:sz w:val="20"/>
                </w:rPr>
                <w:t>August 18,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w:t>
            </w:r>
            <w:hyperlink r:id="rId24">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2024, filed with the SEC on March 13, 2025, and all amendments and reports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that we subsequently file pursuant to Section 13(a), 13(c), 14 or 15(d) of the Exchange Act prior to the completion of the sales of the securities offered hereby, but excluding any information furnished to, rather than filed with, the SEC (unless expressly incorporated by reference herein), will also be incorporated by reference into this prospectus and deemed to be part of this prospectus from the time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applicable prospectus supplement may contain information that updates, modifies or is contrary to information herein or in one or more of the documents incorporated by reference in this prospectus. You should rely only on the information incorporated by reference or provided in this prospectus, the applicable prospectus supplement or any free writing prospectus that we have prepared that relates to a particular offering. We have not authorized anyone else to provide you with different or additional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We make available, free of charge, through our website at </w:t>
      </w:r>
      <w:r>
        <w:rPr>
          <w:rFonts w:ascii="Times New Roman" w:hAnsi="Times New Roman"/>
          <w:i/>
          <w:sz w:val="20"/>
        </w:rPr>
        <w:t>www.regenxbio.com</w:t>
      </w:r>
      <w:r>
        <w:rPr>
          <w:rFonts w:ascii="Times New Roman" w:hAnsi="Times New Roman"/>
          <w:sz w:val="20"/>
        </w:rPr>
        <w:t xml:space="preserve"> our Annual Reports on Form 10-K, Quarterly Reports on Form 10-Q, Current Reports on Form 8-K and proxy and information statements, including any applicable amendments, filed or furnished pursuant to Section 13(a), 13(c), 14 or 15(d) of the Exchange Act as soon as reasonably practicable after we electronically file such material with, or furnish it to, the SEC. Information on, or that can be accessed through, our website is not incorporated into this prospectus or other securities filings and is not a part of these filings. You may also obtain, free of charge, a copy of any of these documents (other than exhibits to these documents unless the exhibits are specifically incorporated by reference into these documents or referred to in this prospectus) by writing or calling us at: </w:t>
      </w:r>
    </w:p>
    <w:p>
      <w:pPr>
        <w:pStyle w:val="TextBody"/>
        <w:bidi w:val="0"/>
        <w:spacing w:before="120" w:after="0"/>
        <w:jc w:val="center"/>
        <w:rPr>
          <w:rFonts w:ascii="Times New Roman" w:hAnsi="Times New Roman"/>
          <w:sz w:val="20"/>
        </w:rPr>
      </w:pPr>
      <w:r>
        <w:rPr>
          <w:rFonts w:ascii="Times New Roman" w:hAnsi="Times New Roman"/>
          <w:sz w:val="20"/>
        </w:rPr>
        <w:t xml:space="preserve">REGENXBIO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9804 Medical Center Drive </w:t>
      </w:r>
    </w:p>
    <w:p>
      <w:pPr>
        <w:pStyle w:val="TextBody"/>
        <w:bidi w:val="0"/>
        <w:spacing w:before="0" w:after="0"/>
        <w:jc w:val="center"/>
        <w:rPr>
          <w:rFonts w:ascii="Times New Roman" w:hAnsi="Times New Roman"/>
          <w:sz w:val="20"/>
        </w:rPr>
      </w:pPr>
      <w:r>
        <w:rPr>
          <w:rFonts w:ascii="Times New Roman" w:hAnsi="Times New Roman"/>
          <w:sz w:val="20"/>
        </w:rPr>
        <w:t xml:space="preserve">Rockville, MD 20850 </w:t>
      </w:r>
    </w:p>
    <w:p>
      <w:pPr>
        <w:pStyle w:val="TextBody"/>
        <w:bidi w:val="0"/>
        <w:spacing w:before="0" w:after="0"/>
        <w:jc w:val="center"/>
        <w:rPr>
          <w:rFonts w:ascii="Times New Roman" w:hAnsi="Times New Roman"/>
          <w:sz w:val="20"/>
        </w:rPr>
      </w:pPr>
      <w:r>
        <w:rPr>
          <w:rFonts w:ascii="Times New Roman" w:hAnsi="Times New Roman"/>
          <w:sz w:val="20"/>
        </w:rPr>
        <w:t xml:space="preserve">(240) 552-8181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33519_4"/>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 </w:t>
      </w:r>
    </w:p>
    <w:p>
      <w:pPr>
        <w:pStyle w:val="TextBody"/>
        <w:bidi w:val="0"/>
        <w:spacing w:before="240" w:after="0"/>
        <w:jc w:val="left"/>
        <w:rPr>
          <w:rFonts w:ascii="Times New Roman" w:hAnsi="Times New Roman"/>
          <w:sz w:val="20"/>
        </w:rPr>
      </w:pPr>
      <w:r>
        <w:rPr>
          <w:rFonts w:ascii="Times New Roman" w:hAnsi="Times New Roman"/>
          <w:sz w:val="20"/>
        </w:rPr>
        <w:t xml:space="preserve">Our investigational gene therapies use adeno-associated virus (AAV) vectors from our proprietary gene delivery platform, which we call our NAV® Technology Platform. AAV vectors are non-replicating viral delivery vehicles that are not known to cause disease. Our NAV Technology Platform consists of a large portfolio of AAV vectors (NAV Vectors), including commonly used AAV8 and AAV9. We believe this platform forms a strong foundation for our current clinical-stage programs and, with our ongoing research and development, we expect to continue to expand our platform and pipeline of potential AAV vector-based gene therapies. We refer to commercial and investigational AAV vector-based gene therapies as AAV Therapeutics. Our NAV Technology Platform is the foundation for commercial and investigational AAV Therapeutics that have treated thousands of patients through our clinical pipeline and NAV licensees.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9804 Medical Center Drive, Rockville, Maryland 20850, and our telephone number is (240) 552-8181. Our website address is www.regenxbio.com. The information on our website is not incorporated by reference into this prospectus and should not be considered to be part of this document. </w:t>
      </w:r>
    </w:p>
    <w:p>
      <w:pPr>
        <w:pStyle w:val="TextBody"/>
        <w:bidi w:val="0"/>
        <w:spacing w:before="480" w:after="0"/>
        <w:jc w:val="center"/>
        <w:rPr>
          <w:rFonts w:ascii="Times New Roman" w:hAnsi="Times New Roman"/>
          <w:b/>
          <w:sz w:val="20"/>
        </w:rPr>
      </w:pPr>
      <w:bookmarkStart w:id="22" w:name="tx133519_5"/>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You should carefully consider the specific risks discussed or incorporated by reference into this prospectus and the applicable prospectus supplement, together with all the other information contained in this prospectus and the applicable prospectus supplement or incorporated by reference into this prospectus and the applicable prospectus supplement, including the risks, uncertainties and assumptions discussed under the caption “Risk Factors” in documents we file from with the SEC, specifically our most recent Annual Report on Form 10-K, our Quarterly Reports on Form 10-Q and our Current Reports on Form 8-K.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before="480" w:after="0"/>
        <w:jc w:val="center"/>
        <w:rPr>
          <w:rFonts w:ascii="Times New Roman" w:hAnsi="Times New Roman"/>
          <w:b/>
          <w:sz w:val="20"/>
        </w:rPr>
      </w:pPr>
      <w:bookmarkStart w:id="23" w:name="tx133519_6"/>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we intend to use the net proceeds from the sale of the securities offered under this prospectus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We may use a portion of the net proceeds to pay off outstanding indebtedness, if any, or acquire or invest in businesses, products or technologies. We will set forth in the applicable prospectus supplement our intended use for the net proceeds received from the sale of any securities. Pending the use of such proceeds, we intend to invest the net proceeds in short-term, investment 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33519_7"/>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general summary of the terms of the shares of common stock and shares of preferred stock that we may issue. The description below and in any prospectus supplement does not include all of the terms of the shares of common stock or shares of preferred stock and should be read together with our restated certificate of incorporation and amended and restated bylaws, copies of which have been filed previously with the SEC. For more information on how you can obtain copies of our restated certificate of incorporation and amended and restated bylaws,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110,000,000 shares, with a par value of $0.0001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are designated as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are designated as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there were 50,618,692 shares of the registrant’s common stock, par value $0.0001 per share, issued and outstanding. No shares of preferred stock were outstanding as of such date.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per share on all matters submitted to a vote of stockholders. Notwithstanding the previous sentence, unless otherwise provided by law, holders of common stock are not entitled to vote on any amendment to our restated certificate of incorporation that relates solely to the terms of any preferred stock if the holders of such preferred stock are entitled to vote on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provided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(the “Delaware General Corporation Law”), provides that holders of a class of stock will have the right to vote separately as a class on any proposal involving fundamental changes in the rights of the holders of that class of stock for proposals that adversely affect such holders. </w:t>
      </w:r>
    </w:p>
    <w:p>
      <w:pPr>
        <w:pStyle w:val="TextBody"/>
        <w:bidi w:val="0"/>
        <w:spacing w:before="360" w:after="0"/>
        <w:jc w:val="left"/>
        <w:rPr>
          <w:rFonts w:ascii="Times New Roman" w:hAnsi="Times New Roman"/>
          <w:i/>
          <w:sz w:val="20"/>
        </w:rPr>
      </w:pPr>
      <w:r>
        <w:rPr>
          <w:rFonts w:ascii="Times New Roman" w:hAnsi="Times New Roman"/>
          <w:i/>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“RGNX.”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outstanding 1,125,440 pre-funded warrants to purchase shares of our common stock at an exercise price of $22.9999 per pre-funded warrant, which equaled the public offering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 share of our common stock in the registered public offering in which the warrants were issued, less the $0.0001 exercise price of each pre-funded warrant. The rights and privileges of the pre-funded warrants are set forth in the Warrant Agency Agreement, dated March 11, 2024, between the Company, Computershare Inc. and Computershare Trust Company, N.A., as warrant agent. The pre-funded warrants are exercisable at the option of the warrant holder at any time and do not expire. However, as set forth in the warrant agreements with each holder, the number of pre-funded warrants that may be exercised at any given time may be limited if, upon exercise, the warrant holder and any of its affiliates would beneficially own more than 9.99% of our common stock, or have voting power of more than 9.99% of our common stock. The limitation may be increased or decreased by the warrant holder, with advance notice to us, to any other percentage not less than 4.99% nor in excess of 19.99%. Pre-funded warrants do not provide any of the rights or privileges provided by our common stock, including any voting rights, until the pre-funded warrants are exercised and settled in underlying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outstanding 268,096 warrants to purchase shares of our common stock at an exercise price of $14.92 per warrant. The warrants were issued on May 16, 2025 and will remain exercisable for 10 years from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shares of preferred stock from time to time in one or more series, the terms of which may be determined at the time of issuance by our board of directors, without further action by our stockholders. Such series of preferred stock may include voting rights, preferences as to dividends and liquidation, conversion rights, redemption rights and sinking fund provisions. The shares of each series of preferred stock will have preferences, limitations and relative rights, including voting rights, identical with those of other shares of the same series and, except to the extent provided in the description of such series, of those of other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any particular series of preferred stock will be described in the prospectus supplement relating to the offering of shares of such series of preferred stock, including,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series designation, stated value and liquidation preference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rates (or method of calculation), the date or dates from which dividends shall accrue, and whether such dividends shall be cumulative or noncumulative and, if cumulative, the dates from which dividends shall commence to 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that shares of such series shall be entitled to receive in the event of our liquidation, dissolution or winding-up;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on which shares of such series shall be convertible or exchangeable for shares of our stock of any other class or classes, or other series of the same class;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shares of such series in addition to those set forth under the caption entitled, “Voting Rights”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as to reissuance or sale of shares of such series redeemed, purchased or otherwise reacquired, or surrendered to us on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and restrictions, if any, on the creation of indebtedness, or on the issue of any additional stock ranking on a parity with or prior to the shares of such series as to dividends or upon liquidation;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of such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shares of preferred stock under this prospectus and any related prospectus supplement, the shares will be fully paid and non-assessable and will not have, or be subject to, any preemptive or similar rights.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provides that the holders of shares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of preferred stock will be set forth in the applicable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Delaware law, our restated certificate of incorporation and our amended and restated bylaws contain provisions that could make it more difficult to effect an acquisition of us by means of a tender offer, proxy contest or otherwise, or to remove our incumbent officers and directors. It is possible that these provisions could make it more difficult to accomplish, or could deter, transactions that stockholders otherwise consider to be in our or their best interest,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unsolicited or unfriendly proposal to acquire or restructure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which prohibits a publicly held Delaware corporation from engaging in a “business combination” with an “interested stockholder” for a period of three years following the time of the transaction in which the person or entity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that time, either the business combination or the transaction that resulted in the stockholder becoming an interested stockholder is approved by the board of directors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such time, the business combination is approved by the board of directors of the corporation and by the affirmative vote, and not by written consent,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Section 203, a “business combination” is broadly defined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that results in the issuance or transfer by the corporation of any stock of the corporation to the interested stockholder,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“interested stockholder” is a person who, together with affiliates and associates, owns or within the immediately preceding three years did own 15% or more of the corporation’s voting stock.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by Written Consent;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restated certificate of incorporation and amended and restated bylaws provide that a special meeting of stockholders may be called only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chairman of the board or our chief executive officer (or if there is no chief executive officer, the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Board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two-thirds of the total voting power of all of our outstanding voting stock. In addition, the affirmative vote of the holders of at least two-thirds of the total voting power of all of our outstanding voting stock is required for stockholders to amend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restated certificate of incorporation and our amended and restated bylaws could have the effect of discouraging others from attempting hostile takeovers and, as a consequence,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or is a “foreign action” (as defined in our restated certificate of incorporation),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unlawful payments of dividends or unlawful stock repurchases or redemptions, as provided under Section 174 of the Delaware General Corporation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or repeal of these provisions will require the approval of the holders of shares representing at least two-thirds of the shares entitled to vote in the election of directors, voting as one class.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and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his or her actions as our officer, director, employee or agent, regardless of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law would permit indemnification. We have entered into separate indemnification agreements with our directors and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restated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33519_8"/>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other securities and may be attached to or separate from any offered securities. Each series of warrants may be issued under a separate warrant agreement to be entered into between us and a bank or trust company, as warrant agent, if indicated in the applicable prospectus supplement. Any warrant agent appointed in connection with the issuance of a series of warrants will act solely as our agent in connection with such warrants and will not have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forms of the warrant agreement and the warrant certificate, if any,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any,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issue shares of our common stock or shares of our preferred stock will describe the terms of the common share warrants and preferred share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shares of common stock or shares of preferred stock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changes or adjustments to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shares of preferred stock that may be purchased upon exercise of a warrant and the price at which the shares may be purchased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identity of the warrant agent,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issue debt securities will describe the terms of those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debt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changes or adjustments to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that the warrants are issued with and the number of warrants issued with each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debt securities issued with them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warrant and the price at which the debt securities may be purchased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represented by the warrant certificates or debt securities that may be issued upon exercise of the warrants will be issued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relating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identity of the warrant agent,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 including, with respect to equity warrants, any right to vote, consent, receive dividends, or receive notice as stockholders with respect to any meeting of the stockholders for the election of directors or any other matter and with respect to debt warrants, any right to receive payment of principal or premium, if any, or interest on the debt securities purchasable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33519_9"/>
      <w:bookmarkEnd w:id="26"/>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separately or together with, or upon conversion, exercise or exchange of other securities, debt securities, including debentures, notes or other evidences of indebtedness as set forth in the applicable prospectus supplement. The debt securities will be issued under one or more separate indentures between us and a trustee to be identified in an accompanying prospectus supplement. The following is a general description of the terms of debt securities we may issue from time to time. Particular terms of any debt securities we offer will be described in the prospectus supplement relating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any debt securities we may issue or the indenture governing any such debt securities. Particular terms of any debt securities we offer and the applicable indenture will be described in the prospectus supplement relating to such offering, and we urge you to read such description in its entirety, because it, and not this description, will define the rights of holders of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debt securities we may issue,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series of debt securities, the denominations in which the offered debt securities will be issued and whether the offering may be reopened for additional securities of that series and on what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are to be guaranteed and, if so, the guarantor or guarantors and the terms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interest or premium, if any, on a series of debt securities will be determined with reference to an index, formula or other method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issuable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legal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debt securities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paying agents, authenticating agents, security registrars or other agents for debt securities, if other than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including any provisions regarding the circumstances under which collateral may be released or substituted;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including those related to original issue discount,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prospectus supplement states otherwise, principal, interest and premium, if any, will be paid by us in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Any debt securities we issue will be governed by a document called an “indenture,” the form of which is filed as an exhibit to the registration statement of which this prospectus forms a part. An indenture is a contract between us and a financial institution acting as trustee on behalf of the holders of the debt securities, and is subject to and governed by the Trust Indenture Act of 1939.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applicable prospectus supplement, including any debt securities issuable upon conversion or exchange of other offered securities, which we refer to as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interest or premium,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that there may be more than one trustee thereunder, each with respect to one or more different series of securities issued thereunder. In the event that there is more than one trustee under the indenture, the powers and trust obligations of each trustee described in this prospectus will extend only to the one or more series of debt securities for which it is trustee. If two or more trustees are acting under an indenture, then the debt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debt securities with terms different from those of debt securities previously issued and, without the consent of the holders thereof, to reopen a previous issue of a series of debt securities and issue additional debt securities of that series unless the reopening is restricted when that series is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Unless otherwise designated in the applicable prospectus supplement, the trustee will be designated as our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moneys paid by us to a paying agent for payment on any debt security that remain unclaimed for a period of two years after the principal, premium or interest has become due and payable and was deposited with the paying agent will be paid to us, subject to any applicable abandoned property law.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any series may be represented, in whole or in part, by one or more global securities. Each global security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registered in the name of a depositary, or its nominee, that we will identify in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deposited with the trustee as custodian for the depositary;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any required legends.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in whole or in part for debt securities registered in the name of any person other than the depositary or any nominee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notified us that it is unwilling or unable to continue as depositary or has ceased to be qualified to act as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the debt securities of the applicable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circumstance described in a prospectus supplement has occurred permitting or requiring the issuance of any such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long as the depositary, or its nominee, is the registered owner of a global security, the depositary or nominee will be considered the absolute owner of the debt securities represented by the global security for all purposes under the indenture. Participants in the depositary have no rights under the indenture with respect to the global securities held on their behalf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Ownership of beneficial interests in a global security are required to be shown on and effected through the book entry system maintained by the depositary (or its nominee), with respect to participants’ interests, or any participant, with respect to interests of persons held by participants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Payments, transfers and exchanges relating to beneficial interests in a global security will be subject to policies and procedures of the depositary and must be effected through the depositary’s (or its nominee’s) book entry system. The depositary’s policies and procedures may change from time to time. We and the trustee have no responsibility or liability for the depositary’s or any participant’s records with respect to beneficial interests in a global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debt securities, the following will be events of default for any series of debt securities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within 30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 with respect to the particular series of debt securities ceases to be of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guarantor) remain in breach of a covenant in respect of debt securities of the series for 60 days after we (or the applicable guarantor) receive a written notice of default from the trustee or holders of at least 25% of the aggregate principal amount of debt securities of the series specifying the default and demanding that it be remedied;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occurs in respect of debt securities of the series described in the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may withhold notice to the holders of debt securities of any default, except in the payment of principal, premium or interest, if it considers the withholding of notice to be in the best interests of the holders.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has not been cured or waived, the trustee or the holders of not less than 25% in aggregate principal amount of the debt securities of the affected series may declare the unpaid principal, premium, if any, and accrued and unpaid interest of all the debt securities of that series to be due and immediately payable. This is called a declaration of acceleration. A declaration of acceleration may be canceled by the holders of a majority in principal amount of the debt securities of the affected series if the default is cured or waived and certain other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the trustee typically is not required to take any action under an indenture at the request of any holders unless the holders offer the trustee reasonable protection from expenses and liability, or an indemnity. If reasonable indemnity is provided, the holders of a majority in aggregate principal amount of the outstanding debt securities of the relevant series may direct the time, method and place of conducting any lawsuit or other formal legal action seeking any remedy available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Before a holder is allowed to bring its own lawsuit or other formal legal action or take other steps to enforce its rights or protect its interests relating to any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must give the trustee written notice that an event of default has occurred and remains uncured;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all outstanding debt securities of the relevant series must make a written request that the trustee take action because of the default and must offer reasonable indemnity to the trustee against the cost and other liabilities of taking that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debt securities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i/>
          <w:sz w:val="20"/>
        </w:rPr>
      </w:pPr>
      <w:r>
        <w:rPr>
          <w:rFonts w:ascii="Times New Roman" w:hAnsi="Times New Roman"/>
          <w:i/>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aggregate principal amount of the relevant series of debt securities may waive a default or event of default for such series of debt securities. If this happens, the default will be treated as if it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survive such transaction or we convey, transfer or lease our properties and assets substantially as an entirety, the acquiring company must be a corporation, limited liability company, partnership or trust, or other corporate form, organized under the laws of the United States, any state of the United States or the District of Columbia, and such company must agree to be legally responsible for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alternatively, we must be the surviving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transaction no event of default, or event that, after notice or lapse of time or both, would constitute an event of default, will have occurred or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a prospectus supplement, there are three types of changes we may make to an indenture and the debt securities issued thereunder,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Changes Requiring Approval of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the types of changes that require specific approval of all of the holders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debt securities of any series whose holders must consent to an amendment, supplement or waiver;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the time for payment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the rate of interest or any premium payable upon the redemption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payment office where any payment on a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any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bring suit to enforce payment of principal, premium, if any, or interest on or after the maturity of a debt security or, in the case of redemption, on or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percentage of holders of debt securities whose consent is needed to supplement the indenture or amend a series of debt securities, waive compliance with certain covenants or waive defaults or events of default, other than to increase such percentage or to provide that certain other provisions of the indenture cannot be modified except with the consent of all affected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manner adverse to the interests of the holders the terms and conditions of the obligations of any guarantors in respect of the due and punctual payment of the principal thereof, premium, if any, and interest thereon, or any additional amounts or any sinking fund or analogous payments;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rights of holders with respect to any series of debt securities that are exchangeable or convertible to receive payment or delivery of any consideration due upon the conversion or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all of the series of debt securities affected by a certain action, voting together as one class for this purpose, may amend or supplement the indenture or waive our compliance obligations with respect to some of our covenants in that indenture. However, we cannot obtain a waiver of a payment default or of any of the matters covered by the bullet points included above. </w:t>
      </w:r>
    </w:p>
    <w:p>
      <w:pPr>
        <w:pStyle w:val="TextBody"/>
        <w:bidi w:val="0"/>
        <w:spacing w:before="360" w:after="0"/>
        <w:jc w:val="left"/>
        <w:rPr>
          <w:rFonts w:ascii="Times New Roman" w:hAnsi="Times New Roman"/>
          <w:i/>
          <w:sz w:val="20"/>
        </w:rPr>
      </w:pPr>
      <w:r>
        <w:rPr>
          <w:rFonts w:ascii="Times New Roman" w:hAnsi="Times New Roman"/>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Clarifications and certain other changes that would not adversely affect holders of the outstanding debt securities in any material respect, including the addition of covenants and guarantees, do not require any vote by the holders of outstanding debt securities. We also do not need to obtain any approval from holders to make any change that affects only debt securities to be issued under the indenture after the change takes effect or any changes that are required to comply with the requirements of the SEC or the Trust Indenture Act of 1939. </w:t>
      </w:r>
    </w:p>
    <w:p>
      <w:pPr>
        <w:pStyle w:val="TextBody"/>
        <w:bidi w:val="0"/>
        <w:spacing w:before="36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on proposed changes to the indenture and the debt securities, each holder will be entitled to one vote for each $1,000 in principal amount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not be eligible to vote if they have been fully defeased as described under “Description of Debt Securities—Defeasance—Legal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generally will be entitled to set any day as a record date for the purpose of determining the holders of outstanding debt securities that are entitled to vote or take other action under the indenture. Any record date must not be more than 90 calendar days nor less than 20 calendar days prior to the proposed date of such vote or action.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will need to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legal defeasance will not be applicable to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such debt securities money, non-callable U.S. government securities, or a combination thereof that will generate enough cash to pay and discharge the principal, premium, if any, and interest on the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the holders to be taxed on the debt securities any differently than if we did not make the deposit and repaid the debt securities ourselves at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certain documentation stating that all conditions precedent to covenant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holders can still look to us for repayment of the debt securities if there were a shortfall in the trust deposit or the trustee is prevented from making payment. In fact, if one of the remaining events of default occurs (such as our bankruptcy) and the debt securities become immediately due and payable, there might be a shortfall. Depending on the event causing the default, holders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We can make the deposit described below and be legally released from all payment and other obligations on the debt securities of a particular series, which we refer to as “legal defeasance.” In that event, we and any guarantor shall have been deemed to have been discharged from obligations with respect to such debt securities and related guarantees, respectively. In order to achieve legal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such debt securities money, non-callable U.S. government securities, or a combination thereof that will generate enough cash to pay and discharge the principal, premium, if any, and interest on the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repaid the debt securities ourselves at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legal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debt securities provided that a successor trustee is appointed to act with respect to such series. In the event that two or more persons are acting as trustee with respect to different series of debt securities, each of the trustees will be a trustee of a trust separate and apart from the trust administered by any other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We intend to name the indenture trustee for each series of debt securities in the related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33519_10"/>
      <w:bookmarkEnd w:id="27"/>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rights we may issue from time to time unless we provide otherwise in the applicable prospectus supplement. Particular terms of any rights we offer will be described in the prospectus supplement relating to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rights we may issue,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aggregate number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price or a formula for the determination of the subscription price for the rights and the currency or currencies in which the subscription price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rights are issued and the number of rights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 formula for the determination of the number of the rights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rights to purchase debt securities, the principal amount of debt securities purchasable upon exercise of one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rights to purchase common stock or preferred stock, the type of stock and number of shares of stock purchasable upon exercise of one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will commence, and the date on which the rights will expire (subject to any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rights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rights include an over-subscription privilege with respect to unsubscribed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on the rights of any merger, consolidation, sale or other disposition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backstop or other purchase arrangement that we may enter into in connection with the rights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exchange and exercise of the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 </w:t>
      </w:r>
    </w:p>
    <w:p>
      <w:pPr>
        <w:pStyle w:val="TextBody"/>
        <w:bidi w:val="0"/>
        <w:spacing w:before="240" w:after="0"/>
        <w:jc w:val="left"/>
        <w:rPr>
          <w:rFonts w:ascii="Times New Roman" w:hAnsi="Times New Roman"/>
          <w:sz w:val="20"/>
        </w:rPr>
      </w:pPr>
      <w:r>
        <w:rPr>
          <w:rFonts w:ascii="Times New Roman" w:hAnsi="Times New Roman"/>
          <w:sz w:val="20"/>
        </w:rPr>
        <w:t xml:space="preserve">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33519_11"/>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33519_12"/>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sell the securities offered by this prospectus in any one or more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short or long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agents or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securities may be distributed from time to time in one or more transactions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the prevailing market price;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method of distribution and the terms and conditions of the offering of such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the underwriters may purchase additional shares of common stock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concessions, commissions or agency fees and other items constituting compensation to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by underwriters or dealers to other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offering expenses;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to our existing security holders, through a dividend or similar distribution, rights to purchase shares of our common stock or preferred stock, debt securities or units,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The applicable prospectus supplement will describe the specific terms of any offering of our common stock or preferred stock through the issuance of rights, including, if applicable, the material terms of any standby underwriting or purchase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or their representatives at the time an agreement for sale is reached. Unless we inform you otherwise in the applicable prospectus supplement, the obligations of the underwriters to purchase the securities will be subject to certain conditions. The underwriters may change from time to time any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in transactions not involving underwriters, dealers or agents.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We will describe the terms of any such sales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underwriters, dealers or agents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all preferred stock, debt securities, warrants, rights and units will be new issues of securities with no established trading market. Unless indicated in the applicable prospectus supplement, we do not expect to list the offered securities on a securities exchange, except for our common stock, which is listed on The Nasdaq Global Select Market.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of Regulation M under the Exchange Act. Stabilizing transactions involve bids to purchase the underlying security in the open market for the purpose of preventing or retarding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Stabilizing transactions, syndicate covering transactions and penalty bids may have the effect of raising or maintaining the market price of our securities or preventing or retarding a decline in the price of our securities. As a result, the price of the securities in the open market may be higher than it would otherwise be in the absence of these transactions. The underwriters may, if they commence these transactions,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Hedging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carefully review the description of that system, which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in the ordinary course of their businesses for which they may receive customary fees and reimbursement of expenses. We may have a material relationship with the underwriters, dealers or agents. We will describe the nature of such relationship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be entitled, under agreements entered into with us, to be indemnified by us against certain liabilities, including liabilities under the Securities Act. Our underwriters, dealers and agents, or their affiliates, may be customers of, engage in transactions with or perform services for us,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33519_13"/>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Covington &amp; Burling LLP, Washington, D.C. Counsel for any underwriters, dealers or agents will be named in the applicable prospectus supplement. </w:t>
      </w:r>
    </w:p>
    <w:p>
      <w:pPr>
        <w:pStyle w:val="TextBody"/>
        <w:bidi w:val="0"/>
        <w:spacing w:before="480" w:after="0"/>
        <w:jc w:val="center"/>
        <w:rPr>
          <w:rFonts w:ascii="Times New Roman" w:hAnsi="Times New Roman"/>
          <w:b/>
          <w:sz w:val="20"/>
        </w:rPr>
      </w:pPr>
      <w:bookmarkStart w:id="31" w:name="tx133519_14"/>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pPr>
      <w:r>
        <w:rPr/>
        <w:drawing>
          <wp:inline distT="0" distB="0" distL="0" distR="0">
            <wp:extent cx="5791200" cy="10814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5791200" cy="1081405"/>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48"/>
        </w:rPr>
      </w:pPr>
      <w:r>
        <w:rPr>
          <w:rFonts w:ascii="Times New Roman" w:hAnsi="Times New Roman"/>
          <w:b/>
          <w:sz w:val="48"/>
        </w:rPr>
        <w:t xml:space="preserve">REGENXBIO Inc. </w:t>
      </w:r>
    </w:p>
    <w:p>
      <w:pPr>
        <w:pStyle w:val="TextBody"/>
        <w:bidi w:val="0"/>
        <w:spacing w:before="720" w:after="0"/>
        <w:jc w:val="center"/>
        <w:rPr>
          <w:rFonts w:ascii="Times New Roman" w:hAnsi="Times New Roman"/>
          <w:b/>
          <w:sz w:val="28"/>
        </w:rPr>
      </w:pPr>
      <w:r>
        <w:rPr>
          <w:rFonts w:ascii="Times New Roman" w:hAnsi="Times New Roman"/>
          <w:b/>
          <w:sz w:val="28"/>
        </w:rPr>
        <w:t xml:space="preserve">10,003,889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1,111,111 Pre-funded Warrants to Purchase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102"/>
        <w:gridCol w:w="2654"/>
        <w:gridCol w:w="102"/>
        <w:gridCol w:w="3367"/>
        <w:gridCol w:w="102"/>
        <w:gridCol w:w="1225"/>
      </w:tblGrid>
      <w:tr>
        <w:trPr/>
        <w:tc>
          <w:tcPr>
            <w:tcW w:w="265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center"/>
              <w:rPr>
                <w:b/>
              </w:rPr>
            </w:pPr>
            <w:r>
              <w:rPr>
                <w:b/>
              </w:rPr>
              <w:t>J.P. Morgan</w:t>
            </w:r>
          </w:p>
        </w:tc>
        <w:tc>
          <w:tcPr>
            <w:tcW w:w="102" w:type="dxa"/>
            <w:tcBorders/>
            <w:vAlign w:val="bottom"/>
          </w:tcPr>
          <w:p>
            <w:pPr>
              <w:pStyle w:val="TableContents"/>
              <w:bidi w:val="0"/>
              <w:spacing w:before="0" w:after="283"/>
              <w:jc w:val="left"/>
              <w:rPr/>
            </w:pPr>
            <w:r>
              <w:rPr/>
              <w:t> </w:t>
            </w:r>
          </w:p>
        </w:tc>
        <w:tc>
          <w:tcPr>
            <w:tcW w:w="3367" w:type="dxa"/>
            <w:tcBorders/>
            <w:vAlign w:val="bottom"/>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Mizuho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16,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90877/000119312526094013/rgnx-20251231.htm" TargetMode="External"/><Relationship Id="rId4" Type="http://schemas.openxmlformats.org/officeDocument/2006/relationships/hyperlink" Target="http://www.sec.gov/Archives/edgar/data/../../../ix?doc=/Archives/edgar/data/1590877/000119312526222804/rgnx-20260331.htm" TargetMode="External"/><Relationship Id="rId5" Type="http://schemas.openxmlformats.org/officeDocument/2006/relationships/hyperlink" Target="http://www.sec.gov/Archives/edgar/data/../../../ix?doc=/Archives/edgar/data/1590877/000119312526026139/rgnx-20260123.htm" TargetMode="External"/><Relationship Id="rId6" Type="http://schemas.openxmlformats.org/officeDocument/2006/relationships/hyperlink" Target="http://www.sec.gov/Archives/edgar/data/../../../ix?doc=/Archives/edgar/data/1590877/000119312526043342/rgnx-20260207.htm" TargetMode="External"/><Relationship Id="rId7" Type="http://schemas.openxmlformats.org/officeDocument/2006/relationships/hyperlink" Target="http://www.sec.gov/Archives/edgar/data/../../../ix?doc=/Archives/edgar/data/1590877/000119312526117913/rgnx-20260318.htm" TargetMode="External"/><Relationship Id="rId8" Type="http://schemas.openxmlformats.org/officeDocument/2006/relationships/hyperlink" Target="http://www.sec.gov/Archives/edgar/data/../../../ix?doc=/Archives/edgar/data/1590877/000119312526222768/rgnx-20260514.htm" TargetMode="External"/><Relationship Id="rId9" Type="http://schemas.openxmlformats.org/officeDocument/2006/relationships/hyperlink" Target="http://www.sec.gov/Archives/edgar/data/../../../ix?doc=/Archives/edgar/data/1590877/000119312526254590/rgnx-20260529.htm" TargetMode="External"/><Relationship Id="rId10" Type="http://schemas.openxmlformats.org/officeDocument/2006/relationships/hyperlink" Target="http://www.sec.gov/Archives/edgar/data/../../../ix?doc=/Archives/edgar/data/1590877/000119312526286825/rgnx-20260623.htm" TargetMode="External"/><Relationship Id="rId11" Type="http://schemas.openxmlformats.org/officeDocument/2006/relationships/hyperlink" Target="http://www.sec.gov/Archives/edgar/data/1590877/000095017025038770/rgnx-ex4_2.htm" TargetMode="External"/><Relationship Id="rId12" Type="http://schemas.openxmlformats.org/officeDocument/2006/relationships/hyperlink" Target="http://www.sec.gov/Archives/edgar/data/../../../ix?doc=/Archives/edgar/data/1590877/000095017025038770/rgnx-2024123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1590877/000095017025038770/rgnx-20241231.htm" TargetMode="External"/><Relationship Id="rId15" Type="http://schemas.openxmlformats.org/officeDocument/2006/relationships/hyperlink" Target="http://www.sec.gov/Archives/edgar/data/../../../ix?doc=/Archives/edgar/data/1590877/000095017025069237/rgnx-20250331.htm" TargetMode="External"/><Relationship Id="rId16" Type="http://schemas.openxmlformats.org/officeDocument/2006/relationships/hyperlink" Target="http://www.sec.gov/Archives/edgar/data/../../../ix?doc=/Archives/edgar/data/1590877/000119312525174953/rgnx-20250630.htm" TargetMode="External"/><Relationship Id="rId17" Type="http://schemas.openxmlformats.org/officeDocument/2006/relationships/hyperlink" Target="http://www.sec.gov/Archives/edgar/data/../../../ix?doc=/Archives/edgar/data/1590877/000119312525268095/rgnx-20250930.htm" TargetMode="External"/><Relationship Id="rId18" Type="http://schemas.openxmlformats.org/officeDocument/2006/relationships/hyperlink" Target="http://www.sec.gov/Archives/edgar/data/../../../ix?doc=/Archives/edgar/data/0001590877/000119312525005659/d868307d8k.htm" TargetMode="External"/><Relationship Id="rId19" Type="http://schemas.openxmlformats.org/officeDocument/2006/relationships/hyperlink" Target="http://www.sec.gov/Archives/edgar/data/../../../ix?doc=/Archives/edgar/data/0001590877/000119312525045585/d909911d8k.htm" TargetMode="External"/><Relationship Id="rId20" Type="http://schemas.openxmlformats.org/officeDocument/2006/relationships/hyperlink" Target="http://www.sec.gov/Archives/edgar/data/../../../ix?doc=/Archives/edgar/data/0001590877/000119312525122456/d31892d8k.htm" TargetMode="External"/><Relationship Id="rId21" Type="http://schemas.openxmlformats.org/officeDocument/2006/relationships/hyperlink" Target="http://www.sec.gov/Archives/edgar/data/../../../ix?doc=/Archives/edgar/data/0001590877/000095017025080986/rgnx-20250530.htm" TargetMode="External"/><Relationship Id="rId22" Type="http://schemas.openxmlformats.org/officeDocument/2006/relationships/hyperlink" Target="http://www.sec.gov/Archives/edgar/data/../../../ix?doc=/Archives/edgar/data/1590877/000119312525174947/rgnx-20250805.htm" TargetMode="External"/><Relationship Id="rId23" Type="http://schemas.openxmlformats.org/officeDocument/2006/relationships/hyperlink" Target="http://www.sec.gov/Archives/edgar/data/../../../ix?doc=/Archives/edgar/data/1590877/000095017025109829/rgnx-20250818.htm" TargetMode="External"/><Relationship Id="rId24" Type="http://schemas.openxmlformats.org/officeDocument/2006/relationships/hyperlink" Target="http://www.sec.gov/Archives/edgar/data/1590877/000095017025038770/rgnx-ex4_2.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33169</Words>
  <Characters>176169</Characters>
  <CharactersWithSpaces>210119</CharactersWithSpaces>
  <Paragraphs>2518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