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159" w:lineRule="exact"/>
        <w:rPr>
          <w:sz w:val="24"/>
          <w:szCs w:val="24"/>
          <w:color w:val="auto"/>
        </w:rPr>
      </w:pPr>
    </w:p>
    <w:p>
      <w:pPr>
        <w:spacing w:after="0" w:line="196" w:lineRule="exact"/>
        <w:tabs>
          <w:tab w:leader="none" w:pos="246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7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4" w:lineRule="exact"/>
        <w:rPr>
          <w:rFonts w:ascii="MS PGothic" w:cs="MS PGothic" w:eastAsia="MS PGothic" w:hAnsi="MS PGothic"/>
          <w:sz w:val="17"/>
          <w:szCs w:val="17"/>
          <w:color w:val="auto"/>
        </w:rPr>
      </w:pPr>
    </w:p>
    <w:p>
      <w:pPr>
        <w:ind w:right="4219" w:firstLine="8"/>
        <w:spacing w:after="0" w:line="216" w:lineRule="exact"/>
        <w:tabs>
          <w:tab w:leader="none" w:pos="342"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REGENXBIO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7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7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74" w:lineRule="exact"/>
        <w:rPr>
          <w:rFonts w:ascii="MS PGothic" w:cs="MS PGothic" w:eastAsia="MS PGothic" w:hAnsi="MS PGothic"/>
          <w:sz w:val="17"/>
          <w:szCs w:val="17"/>
          <w:color w:val="auto"/>
        </w:rPr>
      </w:pPr>
    </w:p>
    <w:p>
      <w:pPr>
        <w:ind w:left="340" w:hanging="332"/>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06"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2702560</wp:posOffset>
            </wp:positionH>
            <wp:positionV relativeFrom="page">
              <wp:posOffset>88900</wp:posOffset>
            </wp:positionV>
            <wp:extent cx="211709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17090" cy="377190"/>
                    </a:xfrm>
                    <a:prstGeom prst="rect">
                      <a:avLst/>
                    </a:prstGeom>
                    <a:noFill/>
                  </pic:spPr>
                </pic:pic>
              </a:graphicData>
            </a:graphic>
          </wp:anchor>
        </w:drawing>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9804 Medical Center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You are cordially invited to attend the Annual Meeting of Stockholders (the “Annual Meeting”) of REGENXBIO Inc., a Delaware corporation (the “Company”). The Annual Meeting will be held on June 2, 2023, at 9:00 a.m. local time at the Company’s offices located at 9804 Medical Center Drive, Rockville, Maryland 20850 for the following purposes:</w:t>
      </w:r>
    </w:p>
    <w:p>
      <w:pPr>
        <w:spacing w:after="0" w:line="184" w:lineRule="exact"/>
        <w:rPr>
          <w:sz w:val="20"/>
          <w:szCs w:val="20"/>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Jean Bennett, M.D., Ph.D., A.N. “Jerry” Karabelas, Ph.D., and Daniel Tassé, to serve as Class II directors until the 2026 annual meeting of stockholders;</w:t>
      </w:r>
    </w:p>
    <w:p>
      <w:pPr>
        <w:spacing w:after="0" w:line="170"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by the Audit Committee of the Board of Directors as the independent registered public accounting firm of the Company for the year ending December 31, 2023;</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compensation paid to the Company’s named executive officers;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adjournments or postponements thereof.</w:t>
      </w:r>
    </w:p>
    <w:p>
      <w:pPr>
        <w:spacing w:after="0" w:line="225" w:lineRule="exact"/>
        <w:rPr>
          <w:sz w:val="20"/>
          <w:szCs w:val="20"/>
          <w:color w:val="auto"/>
        </w:rPr>
      </w:pPr>
    </w:p>
    <w:p>
      <w:pPr>
        <w:jc w:val="both"/>
        <w:ind w:right="700" w:firstLine="749"/>
        <w:spacing w:after="0" w:line="286" w:lineRule="auto"/>
        <w:rPr>
          <w:sz w:val="20"/>
          <w:szCs w:val="20"/>
          <w:color w:val="auto"/>
        </w:rPr>
      </w:pPr>
      <w:r>
        <w:rPr>
          <w:rFonts w:ascii="Arial" w:cs="Arial" w:eastAsia="Arial" w:hAnsi="Arial"/>
          <w:sz w:val="17"/>
          <w:szCs w:val="17"/>
          <w:color w:val="auto"/>
        </w:rPr>
        <w:t>Only stockholders of record at the close of business on April 3, 2023 are entitled to notice of, and to vote at, the Annual Meeting or any adjournment or postponement thereof. A complete list of such stockholders will be available for inspection at the Company’s offices in Rockville, Maryland at the Annual Meeting and during normal business hours for a period of 10 days prior to the Annual Meeting.</w:t>
      </w:r>
    </w:p>
    <w:p>
      <w:pPr>
        <w:spacing w:after="0" w:line="161"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attend the Annual Meeting in person, please submit your proxy by telephone or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or by completing, signing, dating and returning your proxy card or voting instruction form so that your shares will be represented at the Annual Meeting. Instructions for voting are described in the Company’s proxy statement for the Annual Meeting, Notice of Internet Availability of Proxy Materials and proxy card.</w:t>
      </w:r>
    </w:p>
    <w:p>
      <w:pPr>
        <w:spacing w:after="0" w:line="180"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2, 2023:</w:t>
      </w:r>
    </w:p>
    <w:p>
      <w:pPr>
        <w:spacing w:after="0" w:line="162" w:lineRule="exact"/>
        <w:rPr>
          <w:sz w:val="20"/>
          <w:szCs w:val="20"/>
          <w:color w:val="auto"/>
        </w:rPr>
      </w:pPr>
    </w:p>
    <w:p>
      <w:pPr>
        <w:jc w:val="center"/>
        <w:ind w:right="20"/>
        <w:spacing w:after="0" w:line="226" w:lineRule="exact"/>
        <w:rPr>
          <w:sz w:val="20"/>
          <w:szCs w:val="20"/>
          <w:color w:val="auto"/>
        </w:rPr>
      </w:pPr>
      <w:r>
        <w:rPr>
          <w:rFonts w:ascii="Arial" w:cs="Arial" w:eastAsia="Arial" w:hAnsi="Arial"/>
          <w:sz w:val="18"/>
          <w:szCs w:val="18"/>
          <w:b w:val="1"/>
          <w:bCs w:val="1"/>
          <w:color w:val="auto"/>
        </w:rPr>
        <w:t>The Company’s Notice of Annual Meeting, Proxy Statement and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K for the fiscal year ended December 31, 2022 are available at </w:t>
      </w: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5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31750</wp:posOffset>
            </wp:positionV>
            <wp:extent cx="81470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Rockville, Maryland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April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Statement is first being mailed to the stockholders of the Company on or about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20" w:type="dxa"/>
            <w:vAlign w:val="bottom"/>
            <w:gridSpan w:val="7"/>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r>
      <w:tr>
        <w:trPr>
          <w:trHeight w:val="405"/>
        </w:trPr>
        <w:tc>
          <w:tcPr>
            <w:tcW w:w="10000" w:type="dxa"/>
            <w:vAlign w:val="bottom"/>
            <w:gridSpan w:val="14"/>
          </w:tcPr>
          <w:p>
            <w:pPr>
              <w:spacing w:after="0"/>
              <w:rPr>
                <w:sz w:val="20"/>
                <w:szCs w:val="20"/>
                <w:color w:val="auto"/>
              </w:rPr>
            </w:pPr>
            <w:r>
              <w:rPr>
                <w:rFonts w:ascii="Arial" w:cs="Arial" w:eastAsia="Arial" w:hAnsi="Arial"/>
                <w:sz w:val="18"/>
                <w:szCs w:val="18"/>
                <w:color w:val="0000FF"/>
              </w:rPr>
              <w:t>PROXY STATEMENT SUMMARY</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PROPOSAL 1: ELECTION OF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CORPORATE GOVERNANCE</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DIRECTOR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PROPOSAL 2: RATIFICATION OF APPOINTMENT OF INDEPENDENT REGISTERED PUBLIC ACCOUNTING FIRM</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AUDIT COMMITTEE REPORT</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PROPOSAL 3: ADVISORY VOTE ON EXECUTIVE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INFORMATION ABOUT OUR EXECUTIVE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EXECUTIVE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8"/>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8"/>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QUESTIONS AND ANSWERS ABOUT THE PROXY MATERIALS AND VOTING</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OTHER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4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10000" w:type="dxa"/>
            <w:vAlign w:val="bottom"/>
            <w:gridSpan w:val="14"/>
          </w:tcPr>
          <w:p>
            <w:pPr>
              <w:spacing w:after="0"/>
              <w:rPr>
                <w:sz w:val="20"/>
                <w:szCs w:val="20"/>
                <w:color w:val="auto"/>
              </w:rPr>
            </w:pPr>
            <w:r>
              <w:rPr>
                <w:rFonts w:ascii="Arial" w:cs="Arial" w:eastAsia="Arial" w:hAnsi="Arial"/>
                <w:sz w:val="18"/>
                <w:szCs w:val="18"/>
                <w:color w:val="0000FF"/>
              </w:rPr>
              <w:t>CONTACT INFORMATION FOR QUESTIONS AND ASSISTANCE WITH VOTING</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2368550</wp:posOffset>
            </wp:positionH>
            <wp:positionV relativeFrom="page">
              <wp:posOffset>88900</wp:posOffset>
            </wp:positionV>
            <wp:extent cx="2777490"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488950"/>
                    </a:xfrm>
                    <a:prstGeom prst="rect">
                      <a:avLst/>
                    </a:prstGeom>
                    <a:noFill/>
                  </pic:spPr>
                </pic:pic>
              </a:graphicData>
            </a:graphic>
          </wp:anchor>
        </w:drawing>
        <w:t>REGENXBIO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9804 Medical Center Drive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This Proxy Statement is furnished in connection with the solicitation of proxies to be voted at the 2023 Annual Meeting of Stockholders (the “Annual Meeting”) of REGENXBIO Inc., which will be held on June 2, 2023, at 9:00 a.m. local time at the Company’s offices located at 9804 Medical Center Drive, Rockville, Maryland 20850.</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When this Proxy Statement refers to “REGENXBIO,” the “Company,” “we,” “us” or “our,” it is referring to REGENXBIO Inc.</w:t>
      </w:r>
    </w:p>
    <w:p>
      <w:pPr>
        <w:spacing w:after="0" w:line="225" w:lineRule="exact"/>
        <w:rPr>
          <w:sz w:val="20"/>
          <w:szCs w:val="20"/>
          <w:color w:val="auto"/>
        </w:rPr>
      </w:pPr>
    </w:p>
    <w:p>
      <w:pPr>
        <w:ind w:firstLine="749"/>
        <w:spacing w:after="0" w:line="219" w:lineRule="exact"/>
        <w:rPr>
          <w:sz w:val="20"/>
          <w:szCs w:val="20"/>
          <w:color w:val="auto"/>
        </w:rPr>
      </w:pPr>
      <w:r>
        <w:rPr>
          <w:rFonts w:ascii="Arial" w:cs="Arial" w:eastAsia="Arial" w:hAnsi="Arial"/>
          <w:sz w:val="18"/>
          <w:szCs w:val="18"/>
          <w:color w:val="auto"/>
        </w:rPr>
        <w:t>We are making this Proxy Statement and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2022 (the “Annual Report”) available to stockholders at www.proxyvote.com. On or about April 6, 2023, we will begin mailing to our stockholders a Notice of Internet Availability of Proxy Materials (the “Notice”) containing instructions on how to access and review this Proxy Statement and the Annual Report. The Notice also instructs you how you may submit your proxy over the internet or via telephone. If you would like to receive a printed copy of our proxy materials, you should follow the instructions for requesting those materials included in the Notice.</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PROXY STATEMENT EXECUTIVE SUMMARY</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Please read the entire Proxy Statement carefully before voting.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Overview and Vote Recommendations of the Board - Items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Election of Directors: Please vote “For” each nominee </w:t>
      </w:r>
      <w:r>
        <w:rPr>
          <w:rFonts w:ascii="Arial" w:cs="Arial" w:eastAsia="Arial" w:hAnsi="Arial"/>
          <w:sz w:val="18"/>
          <w:szCs w:val="18"/>
          <w:color w:val="auto"/>
        </w:rPr>
        <w:t>(page 5)</w:t>
      </w:r>
    </w:p>
    <w:p>
      <w:pPr>
        <w:spacing w:after="0" w:line="117" w:lineRule="exact"/>
        <w:rPr>
          <w:sz w:val="20"/>
          <w:szCs w:val="20"/>
          <w:color w:val="auto"/>
        </w:rPr>
      </w:pPr>
    </w:p>
    <w:p>
      <w:pPr>
        <w:ind w:left="1020" w:right="3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 nominees have the right mix of experience, qualifications and skills and represent a mix of diverse experience, background and thought to contribute to our strategy and to the Board’s ability to perform its duties.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directors are independent, except for Kenneth T. Mills, our President and CEO, and Allan M. Fox.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Ratification of Appointment of Independent Registered Public Accounting Firm: Please vote “For” </w:t>
      </w:r>
      <w:r>
        <w:rPr>
          <w:rFonts w:ascii="Arial" w:cs="Arial" w:eastAsia="Arial" w:hAnsi="Arial"/>
          <w:sz w:val="18"/>
          <w:szCs w:val="18"/>
          <w:color w:val="auto"/>
        </w:rPr>
        <w:t>(page 20)</w:t>
      </w:r>
    </w:p>
    <w:p>
      <w:pPr>
        <w:spacing w:after="0" w:line="117" w:lineRule="exact"/>
        <w:rPr>
          <w:sz w:val="20"/>
          <w:szCs w:val="20"/>
          <w:color w:val="auto"/>
        </w:rPr>
      </w:pPr>
    </w:p>
    <w:p>
      <w:pPr>
        <w:ind w:left="1020" w:right="6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PricewaterhouseCoopers LLP (“PwC”) is an independent accounting firm with the breadth of expertise and knowledge necessary to effectively audit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PwC has served as our independent registered public accounting firm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Advisory Vote on Executive Compensation: Please vote “For” </w:t>
      </w:r>
      <w:r>
        <w:rPr>
          <w:rFonts w:ascii="Arial" w:cs="Arial" w:eastAsia="Arial" w:hAnsi="Arial"/>
          <w:sz w:val="18"/>
          <w:szCs w:val="18"/>
          <w:color w:val="auto"/>
        </w:rPr>
        <w:t>(page 23)</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oversight by the Compensation Committee with the assistance of an independent external consultant.</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compensation targets are determined based on an annual peer group review and annual analysis of all elements of executive compensation for each executive.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REGENXBIO</w:t>
      </w:r>
    </w:p>
    <w:p>
      <w:pPr>
        <w:spacing w:after="0" w:line="22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187" w:lineRule="exact"/>
        <w:rPr>
          <w:sz w:val="20"/>
          <w:szCs w:val="20"/>
          <w:color w:val="auto"/>
        </w:rPr>
      </w:pPr>
    </w:p>
    <w:p>
      <w:pPr>
        <w:ind w:right="80" w:firstLine="749"/>
        <w:spacing w:after="0" w:line="242" w:lineRule="auto"/>
        <w:rPr>
          <w:sz w:val="20"/>
          <w:szCs w:val="20"/>
          <w:color w:val="auto"/>
        </w:rPr>
      </w:pPr>
      <w:r>
        <w:rPr>
          <w:rFonts w:ascii="Arial" w:cs="Arial" w:eastAsia="Arial" w:hAnsi="Arial"/>
          <w:sz w:val="18"/>
          <w:szCs w:val="18"/>
          <w:color w:val="auto"/>
        </w:rPr>
        <w:t>Our investigational gene therapies use adeno-associated virus ("AAV") vectors from our proprietary gene delivery platform, which we call our NAV</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Platform. AAV vectors are non-replicating viral delivery vehicles that are not known to cause disease. Our NAV Technology Platform consists of exclusive rights to a large portfolio of AAV vectors, including AAV7, AAV8, AAV9 and more than 100 other novel AAV vectors ("NAV Vectors").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2022, we made significant progress toward our clinical development and business objectives, including the following achievements:</w:t>
      </w:r>
    </w:p>
    <w:p>
      <w:pPr>
        <w:sectPr>
          <w:pgSz w:w="11900" w:h="16838" w:orient="portrait"/>
          <w:cols w:equalWidth="0" w:num="1">
            <w:col w:w="11160"/>
          </w:cols>
          <w:pgMar w:left="320" w:top="121" w:right="419" w:bottom="1440" w:gutter="0" w:footer="0" w:header="0"/>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RGX-314 for the Treatment of wet AMD and DR under the eyecare collaboration with AbbVie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i w:val="1"/>
          <w:iCs w:val="1"/>
          <w:color w:val="auto"/>
        </w:rPr>
        <w:t>RGX-202 for the Treatment of Duchenne Muscular Dystrophy (“Duchenne”)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Enrollment is ongoing in ATMOSPHERE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ASCENT™, two pivotal clinical trials to evaluate the efficacy and safety of RGX-314 in patients with wet AMD using the subretinal delivery approach. The ASCENT trial is the first trial to be initiated by REGENXBIO under the eye care collaboration with AbbVie. We announced new data from the Phase II AAVIATE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trial of RGX-314 for the treatment of wet AMD using suprachoroidal delivery. RGX-314 suprachoroidal delivery was reported to be well tolerated across 85 patients dosed in Cohorts 1-5. We also announced positive interim data from the expansion of Phase II ALTITUDE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trial of RGX-314 using in-office suprachoroidal delivery for the treatment of DR without center-involved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-1115060</wp:posOffset>
            </wp:positionV>
            <wp:extent cx="7134225" cy="143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433830"/>
                    </a:xfrm>
                    <a:prstGeom prst="rect">
                      <a:avLst/>
                    </a:prstGeom>
                    <a:noFill/>
                  </pic:spPr>
                </pic:pic>
              </a:graphicData>
            </a:graphic>
          </wp:anchor>
        </w:drawing>
      </w:r>
    </w:p>
    <w:p>
      <w:pPr>
        <w:spacing w:after="0" w:line="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did not meet our objective of enrollment and dose escalation due to unexpected loss of clinical supply in the first quarter of 2022.</w:t>
      </w:r>
    </w:p>
    <w:p>
      <w:pPr>
        <w:spacing w:after="0" w:line="197" w:lineRule="exact"/>
        <w:rPr>
          <w:sz w:val="20"/>
          <w:szCs w:val="20"/>
          <w:color w:val="auto"/>
        </w:rPr>
      </w:pPr>
    </w:p>
    <w:p>
      <w:pPr>
        <w:sectPr>
          <w:pgSz w:w="11900" w:h="16838" w:orient="portrait"/>
          <w:cols w:equalWidth="0" w:num="2">
            <w:col w:w="3320" w:space="320"/>
            <w:col w:w="7520"/>
          </w:cols>
          <w:pgMar w:left="320" w:top="121" w:right="419" w:bottom="1440" w:gutter="0" w:footer="0" w:header="0"/>
          <w:type w:val="continuous"/>
        </w:sectPr>
      </w:pPr>
    </w:p>
    <w:p>
      <w:pPr>
        <w:jc w:val="center"/>
        <w:ind w:right="-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5" w:name="page6"/>
    <w:bookmarkEnd w:id="5"/>
    <w:p>
      <w:pPr>
        <w:ind w:left="120"/>
        <w:spacing w:after="0" w:line="308" w:lineRule="auto"/>
        <w:rPr>
          <w:sz w:val="20"/>
          <w:szCs w:val="20"/>
          <w:color w:val="auto"/>
        </w:rPr>
      </w:pPr>
      <w:r>
        <w:rPr>
          <w:rFonts w:ascii="Arial" w:cs="Arial" w:eastAsia="Arial" w:hAnsi="Arial"/>
          <w:sz w:val="17"/>
          <w:szCs w:val="17"/>
          <w:i w:val="1"/>
          <w:iCs w:val="1"/>
          <w:color w:val="auto"/>
        </w:rPr>
        <w:t>RGX-121 for the Treatment of Mucopolysaccharidosis Type II (“MPS II”)</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We announced additional positive interim data from our ongoing CAMPSIITE pivotal trial of RGX-121 for the treatment of patients up to 5 years old diagnosed with MPS II. Positive data supports a 2024 BLA filing using the accelerated approval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-426085</wp:posOffset>
            </wp:positionV>
            <wp:extent cx="7134225" cy="2451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2451735"/>
                    </a:xfrm>
                    <a:prstGeom prst="rect">
                      <a:avLst/>
                    </a:prstGeom>
                    <a:noFill/>
                  </pic:spPr>
                </pic:pic>
              </a:graphicData>
            </a:graphic>
          </wp:anchor>
        </w:drawing>
      </w:r>
    </w:p>
    <w:p>
      <w:pPr>
        <w:ind w:right="140"/>
        <w:spacing w:after="0" w:line="260" w:lineRule="auto"/>
        <w:rPr>
          <w:sz w:val="20"/>
          <w:szCs w:val="20"/>
          <w:color w:val="auto"/>
        </w:rPr>
      </w:pPr>
      <w:r>
        <w:rPr>
          <w:rFonts w:ascii="Arial" w:cs="Arial" w:eastAsia="Arial" w:hAnsi="Arial"/>
          <w:sz w:val="18"/>
          <w:szCs w:val="18"/>
          <w:color w:val="auto"/>
        </w:rPr>
        <w:t>A second Phase I/II trial of RGX-121 for the treatment of pediatric patients with MPS II over the age of 5 years old is ongoing.</w:t>
      </w:r>
    </w:p>
    <w:p>
      <w:pPr>
        <w:spacing w:after="0" w:line="1" w:lineRule="exact"/>
        <w:rPr>
          <w:sz w:val="20"/>
          <w:szCs w:val="20"/>
          <w:color w:val="auto"/>
        </w:rPr>
      </w:pPr>
    </w:p>
    <w:p>
      <w:pPr>
        <w:sectPr>
          <w:pgSz w:w="11900" w:h="16838" w:orient="portrait"/>
          <w:cols w:equalWidth="0" w:num="2">
            <w:col w:w="3260" w:space="380"/>
            <w:col w:w="7600"/>
          </w:cols>
          <w:pgMar w:left="320" w:top="152" w:right="339" w:bottom="1440" w:gutter="0" w:footer="0" w:header="0"/>
        </w:sectPr>
      </w:pPr>
    </w:p>
    <w:tbl>
      <w:tblPr>
        <w:tblLayout w:type="fixed"/>
        <w:tblInd w:w="10" w:type="dxa"/>
        <w:tblCellMar>
          <w:top w:w="0" w:type="dxa"/>
          <w:left w:w="0" w:type="dxa"/>
          <w:bottom w:w="0" w:type="dxa"/>
          <w:right w:w="0" w:type="dxa"/>
        </w:tblCellMar>
      </w:tblPr>
      <w:tr>
        <w:trPr>
          <w:trHeight w:val="206"/>
        </w:trPr>
        <w:tc>
          <w:tcPr>
            <w:tcW w:w="3540" w:type="dxa"/>
            <w:vAlign w:val="bottom"/>
            <w:tcBorders>
              <w:top w:val="single" w:sz="8" w:color="auto"/>
              <w:left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i w:val="1"/>
                <w:iCs w:val="1"/>
                <w:color w:val="auto"/>
              </w:rPr>
              <w:t>RGX-111 for the Treatment of</w:t>
            </w:r>
          </w:p>
        </w:tc>
        <w:tc>
          <w:tcPr>
            <w:tcW w:w="7700" w:type="dxa"/>
            <w:vAlign w:val="bottom"/>
            <w:tcBorders>
              <w:top w:val="single" w:sz="8" w:color="auto"/>
            </w:tcBorders>
          </w:tcPr>
          <w:p>
            <w:pPr>
              <w:ind w:left="100"/>
              <w:spacing w:after="0" w:line="206" w:lineRule="exact"/>
              <w:rPr>
                <w:sz w:val="20"/>
                <w:szCs w:val="20"/>
                <w:color w:val="auto"/>
              </w:rPr>
            </w:pPr>
            <w:r>
              <w:rPr>
                <w:rFonts w:ascii="Arial" w:cs="Arial" w:eastAsia="Arial" w:hAnsi="Arial"/>
                <w:sz w:val="18"/>
                <w:szCs w:val="18"/>
                <w:color w:val="auto"/>
                <w:w w:val="95"/>
              </w:rPr>
              <w:t>We completed enrollment of patients in expanded Cohort 2 of our Phase I/II trial of RGX-111 for the</w:t>
            </w:r>
          </w:p>
        </w:tc>
      </w:tr>
      <w:tr>
        <w:trPr>
          <w:trHeight w:val="230"/>
        </w:trPr>
        <w:tc>
          <w:tcPr>
            <w:tcW w:w="3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Mucopolysaccharidosis Type I (“MPS I”)</w:t>
            </w:r>
          </w:p>
        </w:tc>
        <w:tc>
          <w:tcPr>
            <w:tcW w:w="7700" w:type="dxa"/>
            <w:vAlign w:val="bottom"/>
          </w:tcPr>
          <w:p>
            <w:pPr>
              <w:ind w:left="100"/>
              <w:spacing w:after="0"/>
              <w:rPr>
                <w:sz w:val="20"/>
                <w:szCs w:val="20"/>
                <w:color w:val="auto"/>
              </w:rPr>
            </w:pPr>
            <w:r>
              <w:rPr>
                <w:rFonts w:ascii="Arial" w:cs="Arial" w:eastAsia="Arial" w:hAnsi="Arial"/>
                <w:sz w:val="18"/>
                <w:szCs w:val="18"/>
                <w:color w:val="auto"/>
              </w:rPr>
              <w:t>treatment of MPS I.</w:t>
            </w:r>
          </w:p>
        </w:tc>
      </w:tr>
      <w:tr>
        <w:trPr>
          <w:trHeight w:val="203"/>
        </w:trPr>
        <w:tc>
          <w:tcPr>
            <w:tcW w:w="3540" w:type="dxa"/>
            <w:vAlign w:val="bottom"/>
            <w:tcBorders>
              <w:left w:val="single" w:sz="8" w:color="auto"/>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tcPr>
          <w:p>
            <w:pPr>
              <w:spacing w:after="0"/>
              <w:rPr>
                <w:sz w:val="17"/>
                <w:szCs w:val="17"/>
                <w:color w:val="auto"/>
              </w:rPr>
            </w:pPr>
          </w:p>
        </w:tc>
      </w:tr>
      <w:tr>
        <w:trPr>
          <w:trHeight w:val="209"/>
        </w:trPr>
        <w:tc>
          <w:tcPr>
            <w:tcW w:w="3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RGX-181 and RGX-381</w:t>
            </w:r>
          </w:p>
        </w:tc>
        <w:tc>
          <w:tcPr>
            <w:tcW w:w="7700" w:type="dxa"/>
            <w:vAlign w:val="bottom"/>
          </w:tcPr>
          <w:p>
            <w:pPr>
              <w:ind w:left="100"/>
              <w:spacing w:after="0"/>
              <w:rPr>
                <w:sz w:val="20"/>
                <w:szCs w:val="20"/>
                <w:color w:val="auto"/>
              </w:rPr>
            </w:pPr>
            <w:r>
              <w:rPr>
                <w:rFonts w:ascii="Arial" w:cs="Arial" w:eastAsia="Arial" w:hAnsi="Arial"/>
                <w:sz w:val="18"/>
                <w:szCs w:val="18"/>
                <w:color w:val="auto"/>
              </w:rPr>
              <w:t>First patient dosed under a single-patient investigator-initiated study of RGX-181.</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w w:val="96"/>
              </w:rPr>
              <w:t>We received approval of the clinical trial application for RGX-381 from the UK Health Authority and</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 expect to initiate a Phase I/II clinical trial in the first half of 2023.</w:t>
            </w:r>
          </w:p>
        </w:tc>
      </w:tr>
      <w:tr>
        <w:trPr>
          <w:trHeight w:val="215"/>
        </w:trPr>
        <w:tc>
          <w:tcPr>
            <w:tcW w:w="3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Enhancement of Gene Therapy</w:t>
            </w:r>
          </w:p>
        </w:tc>
        <w:tc>
          <w:tcPr>
            <w:tcW w:w="7700" w:type="dxa"/>
            <w:vAlign w:val="bottom"/>
          </w:tcPr>
          <w:p>
            <w:pPr>
              <w:ind w:left="100"/>
              <w:spacing w:after="0"/>
              <w:rPr>
                <w:sz w:val="20"/>
                <w:szCs w:val="20"/>
                <w:color w:val="auto"/>
              </w:rPr>
            </w:pPr>
            <w:r>
              <w:rPr>
                <w:rFonts w:ascii="Arial" w:cs="Arial" w:eastAsia="Arial" w:hAnsi="Arial"/>
                <w:sz w:val="18"/>
                <w:szCs w:val="18"/>
                <w:color w:val="auto"/>
                <w:w w:val="98"/>
              </w:rPr>
              <w:t>Our Rockville, Maryland headquarters includes a current Good Manufacturing Practice (“cGMP”)</w:t>
            </w:r>
          </w:p>
        </w:tc>
      </w:tr>
      <w:tr>
        <w:trPr>
          <w:trHeight w:val="216"/>
        </w:trPr>
        <w:tc>
          <w:tcPr>
            <w:tcW w:w="3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Manufacturing Capabilities</w:t>
            </w:r>
          </w:p>
        </w:tc>
        <w:tc>
          <w:tcPr>
            <w:tcW w:w="7700" w:type="dxa"/>
            <w:vAlign w:val="bottom"/>
          </w:tcPr>
          <w:p>
            <w:pPr>
              <w:ind w:left="100"/>
              <w:spacing w:after="0"/>
              <w:rPr>
                <w:sz w:val="20"/>
                <w:szCs w:val="20"/>
                <w:color w:val="auto"/>
              </w:rPr>
            </w:pPr>
            <w:r>
              <w:rPr>
                <w:rFonts w:ascii="Arial" w:cs="Arial" w:eastAsia="Arial" w:hAnsi="Arial"/>
                <w:sz w:val="18"/>
                <w:szCs w:val="18"/>
                <w:color w:val="auto"/>
                <w:w w:val="97"/>
              </w:rPr>
              <w:t>manufacturing facility. Our cGMP manufacturing facility, which was fully operational starting in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w w:val="95"/>
              </w:rPr>
              <w:t>first half of 2022, allows for production of NAV Vectors at scales up to 2,000 liters using our platform</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suspension cell culture process. We completed four cGMP batches of clinical drug products in 2022.</w:t>
            </w:r>
          </w:p>
        </w:tc>
      </w:tr>
      <w:tr>
        <w:trPr>
          <w:trHeight w:val="230"/>
        </w:trPr>
        <w:tc>
          <w:tcPr>
            <w:tcW w:w="3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Financial Strength</w:t>
            </w:r>
          </w:p>
        </w:tc>
        <w:tc>
          <w:tcPr>
            <w:tcW w:w="7700" w:type="dxa"/>
            <w:vAlign w:val="bottom"/>
          </w:tcPr>
          <w:p>
            <w:pPr>
              <w:ind w:left="100"/>
              <w:spacing w:after="0"/>
              <w:rPr>
                <w:sz w:val="20"/>
                <w:szCs w:val="20"/>
                <w:color w:val="auto"/>
              </w:rPr>
            </w:pPr>
            <w:r>
              <w:rPr>
                <w:rFonts w:ascii="Arial" w:cs="Arial" w:eastAsia="Arial" w:hAnsi="Arial"/>
                <w:sz w:val="18"/>
                <w:szCs w:val="18"/>
                <w:color w:val="auto"/>
              </w:rPr>
              <w:t>We ended 2022 with over $550 million in cash, cash equivalents and marketable securities.</w:t>
            </w:r>
          </w:p>
        </w:tc>
      </w:tr>
      <w:tr>
        <w:trPr>
          <w:trHeight w:val="229"/>
        </w:trPr>
        <w:tc>
          <w:tcPr>
            <w:tcW w:w="3540" w:type="dxa"/>
            <w:vAlign w:val="bottom"/>
            <w:tcBorders>
              <w:left w:val="single" w:sz="8" w:color="auto"/>
              <w:bottom w:val="single" w:sz="8" w:color="auto"/>
              <w:right w:val="single" w:sz="8" w:color="auto"/>
            </w:tcBorders>
          </w:tcPr>
          <w:p>
            <w:pPr>
              <w:spacing w:after="0"/>
              <w:rPr>
                <w:sz w:val="19"/>
                <w:szCs w:val="19"/>
                <w:color w:val="auto"/>
              </w:rPr>
            </w:pPr>
          </w:p>
        </w:tc>
        <w:tc>
          <w:tcPr>
            <w:tcW w:w="770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commitment to effective corporate governance is illustrated by the following practices:</w:t>
      </w:r>
    </w:p>
    <w:p>
      <w:pPr>
        <w:spacing w:after="0" w:line="117" w:lineRule="exact"/>
        <w:rPr>
          <w:sz w:val="20"/>
          <w:szCs w:val="20"/>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actively oversees and approves our corporate strategy.</w:t>
      </w:r>
    </w:p>
    <w:p>
      <w:pPr>
        <w:spacing w:after="0" w:line="117" w:lineRule="exact"/>
        <w:rPr>
          <w:rFonts w:ascii="Arial" w:cs="Arial" w:eastAsia="Arial" w:hAnsi="Arial"/>
          <w:sz w:val="18"/>
          <w:szCs w:val="18"/>
          <w:color w:val="auto"/>
        </w:rPr>
      </w:pPr>
    </w:p>
    <w:p>
      <w:pPr>
        <w:ind w:left="1540" w:right="160" w:hanging="514"/>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and board committee agendas are structured to engage our directors in informed reviews of strategic and forward-looking issues.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reviews our enterprise-level risks and risk management practices.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charters of the Board committees clearly establish the committees’ respective roles and responsibilities.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committees are fully independent.</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strong, independent, clearly defined lead independent director role with meaningful governance duties.</w:t>
      </w:r>
    </w:p>
    <w:p>
      <w:pPr>
        <w:spacing w:after="0" w:line="117" w:lineRule="exact"/>
        <w:rPr>
          <w:rFonts w:ascii="Arial" w:cs="Arial" w:eastAsia="Arial" w:hAnsi="Arial"/>
          <w:sz w:val="18"/>
          <w:szCs w:val="18"/>
          <w:color w:val="auto"/>
        </w:rPr>
      </w:pPr>
    </w:p>
    <w:p>
      <w:pPr>
        <w:ind w:left="1540" w:right="780" w:hanging="514"/>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independent directors actively engage in board meetings, have direct access to management, and have discretion to hire independent advisors at the Company’s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Highlights</w:t>
      </w:r>
    </w:p>
    <w:p>
      <w:pPr>
        <w:spacing w:after="0" w:line="121" w:lineRule="exact"/>
        <w:rPr>
          <w:sz w:val="20"/>
          <w:szCs w:val="20"/>
          <w:color w:val="auto"/>
        </w:rPr>
      </w:pPr>
    </w:p>
    <w:p>
      <w:pPr>
        <w:ind w:left="1540" w:hanging="51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a long-standing commitment to corporate responsibility.</w:t>
      </w:r>
    </w:p>
    <w:p>
      <w:pPr>
        <w:spacing w:after="0" w:line="117" w:lineRule="exact"/>
        <w:rPr>
          <w:rFonts w:ascii="Arial" w:cs="Arial" w:eastAsia="Arial" w:hAnsi="Arial"/>
          <w:sz w:val="18"/>
          <w:szCs w:val="18"/>
          <w:color w:val="auto"/>
        </w:rPr>
      </w:pPr>
    </w:p>
    <w:p>
      <w:pPr>
        <w:ind w:left="1540" w:right="60" w:hanging="514"/>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committed to remaining cognizant of our impact on the wider environment in which we operate including Company initiatives designed to improve manufacturing yields and measuring baseline emissions to reduce waste.</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committed to providing equal opportunity in all aspects of employment and have established a DEI Champion Group to further our diversity, equity and inclusion initiatives.</w:t>
      </w:r>
    </w:p>
    <w:p>
      <w:pPr>
        <w:spacing w:after="0" w:line="62" w:lineRule="exact"/>
        <w:rPr>
          <w:rFonts w:ascii="Arial" w:cs="Arial" w:eastAsia="Arial" w:hAnsi="Arial"/>
          <w:sz w:val="18"/>
          <w:szCs w:val="18"/>
          <w:color w:val="auto"/>
        </w:rPr>
      </w:pPr>
    </w:p>
    <w:p>
      <w:pPr>
        <w:ind w:left="1540" w:right="520" w:hanging="514"/>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believes that gender diversity and racial and ethnic diversity are important in providing diverse viewpoints. Our commitment to that belief is reflected in the composition of our Board, which includes three women among its four most recent additions.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Engagement in 2022</w:t>
      </w:r>
    </w:p>
    <w:p>
      <w:pPr>
        <w:spacing w:after="0" w:line="22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Following our 2022 annual meeting, as part of our off-season stockholder engagement efforts, our leadership team reached out to engage with 14 stockholders representing approximately 54% of our outstanding common stock to discuss the progress of our clinical trials, our business strategy, our financial performance and strategic initiatives and our corporate governance. We also provided these stockholders with an overview of the overall state of the AAV gene therapy industry.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Under our Certificate of Incorporation and Amended and Restated Bylaws ("the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nine. Jean Bennett, M.D., Ph.D., A.N. “Jerry” Karabelas, Ph.D., and Daniel Tassé, are the three Class II directors whose terms expire at this Annual Meeting. The Board has nominated Dr. Bennett, Dr. Karabelas, and Mr. Tassé (collectively, the “nominees” and each, a “nominee”) to serve until the 2026 annual meeting of stockholders or until their successors are elected, or until their earlier death, resignation or removal. Each of the nominees was recommended for election by the Nominating and Corporate Governance Committee, and each such recommendation was approved unanimously by the Board.</w:t>
      </w:r>
    </w:p>
    <w:p>
      <w:pPr>
        <w:spacing w:after="0" w:line="17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Shares represented by signed proxy cards will be voted on Proposal 1 “For” the election of Dr. Bennett, Dr. Karabelas, and Mr. Tassé to the Board at the Annual Meeting,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Dr. Bennett, Dr. Karabelas, and Mr. Tassé have each agreed to serve as a director if elected. We have no reason to believe that any of the nominees will be unable to serve if elected.</w:t>
      </w:r>
    </w:p>
    <w:p>
      <w:pPr>
        <w:spacing w:after="0" w:line="188"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Corporate Governance Committee and the Board to determine that the nominees should continue to serve as directors.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directors have a diverse set of skills and experience on the board, including:</w:t>
      </w:r>
    </w:p>
    <w:p>
      <w:pPr>
        <w:spacing w:after="0" w:line="225" w:lineRule="exact"/>
        <w:rPr>
          <w:sz w:val="20"/>
          <w:szCs w:val="20"/>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have life sciences experience, including with respect to gene therapy;</w:t>
      </w:r>
    </w:p>
    <w:p>
      <w:pPr>
        <w:spacing w:after="0" w:line="23"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have deep public company or executive leadership experience;</w:t>
      </w:r>
    </w:p>
    <w:p>
      <w:pPr>
        <w:spacing w:after="0" w:line="9"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of our directors have experience in medicine, science, academia or research;</w:t>
      </w:r>
    </w:p>
    <w:p>
      <w:pPr>
        <w:spacing w:after="0" w:line="9"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of our directors have finance, accounting or IT experience;</w:t>
      </w:r>
    </w:p>
    <w:p>
      <w:pPr>
        <w:spacing w:after="0" w:line="9"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of our directors have regulatory, public policy or legal experience;</w:t>
      </w:r>
    </w:p>
    <w:p>
      <w:pPr>
        <w:spacing w:after="0" w:line="9"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of our directors have commercial experience and;</w:t>
      </w:r>
    </w:p>
    <w:p>
      <w:pPr>
        <w:spacing w:after="0" w:line="9"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of our directors have international experience.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4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Age</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1"/>
              </w:rPr>
              <w:t>Positions and Offices Held</w:t>
            </w:r>
          </w:p>
        </w:tc>
        <w:tc>
          <w:tcPr>
            <w:tcW w:w="1800" w:type="dxa"/>
            <w:vAlign w:val="bottom"/>
            <w:vMerge w:val="restart"/>
          </w:tcPr>
          <w:p>
            <w:pPr>
              <w:jc w:val="center"/>
              <w:ind w:left="275"/>
              <w:spacing w:after="0"/>
              <w:rPr>
                <w:sz w:val="20"/>
                <w:szCs w:val="20"/>
                <w:color w:val="auto"/>
              </w:rPr>
            </w:pPr>
            <w:r>
              <w:rPr>
                <w:rFonts w:ascii="Arial" w:cs="Arial" w:eastAsia="Arial" w:hAnsi="Arial"/>
                <w:sz w:val="14"/>
                <w:szCs w:val="14"/>
                <w:b w:val="1"/>
                <w:bCs w:val="1"/>
                <w:color w:val="auto"/>
                <w:w w:val="92"/>
              </w:rPr>
              <w:t>Director Since</w:t>
            </w: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with Company</w:t>
            </w: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DEEAF6"/>
          </w:tcPr>
          <w:p>
            <w:pPr>
              <w:ind w:left="20"/>
              <w:spacing w:after="0"/>
              <w:rPr>
                <w:sz w:val="20"/>
                <w:szCs w:val="20"/>
                <w:color w:val="auto"/>
              </w:rPr>
            </w:pPr>
            <w:r>
              <w:rPr>
                <w:rFonts w:ascii="Arial" w:cs="Arial" w:eastAsia="Arial" w:hAnsi="Arial"/>
                <w:sz w:val="18"/>
                <w:szCs w:val="18"/>
                <w:color w:val="auto"/>
              </w:rPr>
              <w:t>Jean Bennett, M.D., Ph.D.</w:t>
            </w:r>
          </w:p>
        </w:tc>
        <w:tc>
          <w:tcPr>
            <w:tcW w:w="2440" w:type="dxa"/>
            <w:vAlign w:val="bottom"/>
            <w:shd w:val="clear" w:color="auto" w:fill="DEEAF6"/>
          </w:tcPr>
          <w:p>
            <w:pPr>
              <w:ind w:left="1520"/>
              <w:spacing w:after="0"/>
              <w:rPr>
                <w:sz w:val="20"/>
                <w:szCs w:val="20"/>
                <w:color w:val="auto"/>
              </w:rPr>
            </w:pPr>
            <w:r>
              <w:rPr>
                <w:rFonts w:ascii="Arial" w:cs="Arial" w:eastAsia="Arial" w:hAnsi="Arial"/>
                <w:sz w:val="18"/>
                <w:szCs w:val="18"/>
                <w:color w:val="auto"/>
              </w:rPr>
              <w:t>68</w:t>
            </w:r>
          </w:p>
        </w:tc>
        <w:tc>
          <w:tcPr>
            <w:tcW w:w="32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shd w:val="clear" w:color="auto" w:fill="DEEAF6"/>
          </w:tcPr>
          <w:p>
            <w:pPr>
              <w:jc w:val="center"/>
              <w:ind w:left="275"/>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Arial" w:cs="Arial" w:eastAsia="Arial" w:hAnsi="Arial"/>
                <w:sz w:val="18"/>
                <w:szCs w:val="18"/>
                <w:color w:val="auto"/>
              </w:rPr>
              <w:t>A.N. “Jerry” Karabelas, Ph.D.</w:t>
            </w:r>
          </w:p>
        </w:tc>
        <w:tc>
          <w:tcPr>
            <w:tcW w:w="2440" w:type="dxa"/>
            <w:vAlign w:val="bottom"/>
          </w:tcPr>
          <w:p>
            <w:pPr>
              <w:ind w:left="1520"/>
              <w:spacing w:after="0"/>
              <w:rPr>
                <w:sz w:val="20"/>
                <w:szCs w:val="20"/>
                <w:color w:val="auto"/>
              </w:rPr>
            </w:pPr>
            <w:r>
              <w:rPr>
                <w:rFonts w:ascii="Arial" w:cs="Arial" w:eastAsia="Arial" w:hAnsi="Arial"/>
                <w:sz w:val="18"/>
                <w:szCs w:val="18"/>
                <w:color w:val="auto"/>
              </w:rPr>
              <w:t>70</w:t>
            </w: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1800" w:type="dxa"/>
            <w:vAlign w:val="bottom"/>
          </w:tcPr>
          <w:p>
            <w:pPr>
              <w:jc w:val="center"/>
              <w:ind w:left="275"/>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49"/>
        </w:trPr>
        <w:tc>
          <w:tcPr>
            <w:tcW w:w="3720" w:type="dxa"/>
            <w:vAlign w:val="bottom"/>
            <w:shd w:val="clear" w:color="auto" w:fill="DEEAF6"/>
          </w:tcPr>
          <w:p>
            <w:pPr>
              <w:ind w:left="20"/>
              <w:spacing w:after="0"/>
              <w:rPr>
                <w:sz w:val="20"/>
                <w:szCs w:val="20"/>
                <w:color w:val="auto"/>
              </w:rPr>
            </w:pPr>
            <w:r>
              <w:rPr>
                <w:rFonts w:ascii="Arial" w:cs="Arial" w:eastAsia="Arial" w:hAnsi="Arial"/>
                <w:sz w:val="18"/>
                <w:szCs w:val="18"/>
                <w:color w:val="auto"/>
              </w:rPr>
              <w:t>Daniel Tassé</w:t>
            </w:r>
          </w:p>
        </w:tc>
        <w:tc>
          <w:tcPr>
            <w:tcW w:w="2440" w:type="dxa"/>
            <w:vAlign w:val="bottom"/>
            <w:shd w:val="clear" w:color="auto" w:fill="DEEAF6"/>
          </w:tcPr>
          <w:p>
            <w:pPr>
              <w:ind w:left="1520"/>
              <w:spacing w:after="0"/>
              <w:rPr>
                <w:sz w:val="20"/>
                <w:szCs w:val="20"/>
                <w:color w:val="auto"/>
              </w:rPr>
            </w:pPr>
            <w:r>
              <w:rPr>
                <w:rFonts w:ascii="Arial" w:cs="Arial" w:eastAsia="Arial" w:hAnsi="Arial"/>
                <w:sz w:val="18"/>
                <w:szCs w:val="18"/>
                <w:color w:val="auto"/>
              </w:rPr>
              <w:t>63</w:t>
            </w:r>
          </w:p>
        </w:tc>
        <w:tc>
          <w:tcPr>
            <w:tcW w:w="32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shd w:val="clear" w:color="auto" w:fill="DEEAF6"/>
          </w:tcPr>
          <w:p>
            <w:pPr>
              <w:jc w:val="center"/>
              <w:ind w:left="275"/>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b w:val="1"/>
          <w:bCs w:val="1"/>
          <w:i w:val="1"/>
          <w:iCs w:val="1"/>
          <w:color w:val="auto"/>
        </w:rPr>
        <w:t xml:space="preserve">Jean Bennett, M.D., Ph.D., </w:t>
      </w:r>
      <w:r>
        <w:rPr>
          <w:rFonts w:ascii="Arial" w:cs="Arial" w:eastAsia="Arial" w:hAnsi="Arial"/>
          <w:sz w:val="16"/>
          <w:szCs w:val="16"/>
          <w:color w:val="auto"/>
        </w:rPr>
        <w:t>has been a Director since September 2021. Dr. Bennett has been the F.M. Kirby Emeritus Professor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Ophthalmology at the Perelman School of Medicine at the University of Pennsylvania since July 2021, where she was previously a professor for 17 years. She also served as director of the Center for Advanced Retinal and Ocular Therapeutics at the University of Pennsylvania from July 2014 to June 2021. In addition to Dr. Bennett’s positions at the University of Pennsylvania, she has been an Investigator at the Center for Cellular and Molecular Therapeutics at The Children’s Hospital of Philadelphia for more than a decade. She also co-founded life science companies Spark Therapeutics (acquired by Roche), GenSight Biologics, Limelight Bio and Opus Genetics. Dr. Bennett has published or contributed to more than 120 peer-reviewed publications on gene therapy, including her pioneering work on gene therapy delivery of RPE65, which was foundational to the approval of Luxturna, the first gene therapy product approved by the U.S. Food and Drug Administration (the “FDA”). Dr. Bennett received a B.S. in Biology from Yale University, a Ph.D. in Zoology and Cell Biology from the University of California, Berkeley and an M.D. from Harvard University. She also completed postdoctoral fellowships in Radiobiology and Environmental Health at the University of California, San Francisco, Human Genetics at Yale School of Medicine and Development Genetics at The Johns Hopkins University School of Medicine. Dr. Bennett’s work as a leading molecular genetics researcher and her past experience in drug development, provides her with deep medical and scientific experience and with life sciences expertise, particularly in the field of retinal gene therapy.</w:t>
      </w:r>
    </w:p>
    <w:p>
      <w:pPr>
        <w:spacing w:after="0" w:line="208"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b w:val="1"/>
          <w:bCs w:val="1"/>
          <w:i w:val="1"/>
          <w:iCs w:val="1"/>
          <w:color w:val="auto"/>
        </w:rPr>
        <w:t xml:space="preserve">A.N. “Jerry” Karabelas, Ph.D., </w:t>
      </w:r>
      <w:r>
        <w:rPr>
          <w:rFonts w:ascii="Arial" w:cs="Arial" w:eastAsia="Arial" w:hAnsi="Arial"/>
          <w:sz w:val="18"/>
          <w:szCs w:val="18"/>
          <w:color w:val="auto"/>
        </w:rPr>
        <w:t>has been the Lead Independent Director since July 2020 and a Director since May 2015. Dr. Karabelas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Venture Partner at Apple Tree Partners, a life sciences venture capital firm, since January 2021, prior to which he was a Partner at Care Capital, LLC (“Care Capital”), a life sciences venture capital firm, from December 2001 to December 2020. Before joining Care Capital, Dr. Karabelas was Chairman at Novartis BioVentures Fund, which is owned by Novartis AG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80"/>
        <w:spacing w:after="0" w:line="287" w:lineRule="auto"/>
        <w:rPr>
          <w:sz w:val="20"/>
          <w:szCs w:val="20"/>
          <w:color w:val="auto"/>
        </w:rPr>
      </w:pPr>
      <w:r>
        <w:rPr>
          <w:rFonts w:ascii="Arial" w:cs="Arial" w:eastAsia="Arial" w:hAnsi="Arial"/>
          <w:sz w:val="16"/>
          <w:szCs w:val="16"/>
          <w:color w:val="auto"/>
        </w:rPr>
        <w:t>(“Novartis”), a provider of capital for life sciences companies across the biotech, medical devices and diagnostics industries, prior to which he was the Chief Executive Officer of Novartis Pharma AG, which is also owned by Novartis. Before joining Novartis, Dr. Karabelas was Executive Vice President, Worldwide Pharmaceuticals of SmithKline Beecham, where he was responsible for U.S. and European operations, regulatory and strategic marketing. Dr. Karabelas has served as a director at Bausch Health Companies Inc., a publicly held specialty pharmaceutical and medical device company, since June 2016 and Braeburn Pharmaceuticals, Inc., a privately held pharmaceutical company, since September 2015. He previously served as Chairman at Polyphor AG, a pharmaceutical company, from June 2013 to November 2019 and Inotek Pharmaceuticals Corporation from July 2012 to June 2016. In connection with his work at Care Capital, Dr. Karabelas previously served on numerous boards of directors of pharmaceutical and therapeutics companies, including Renovo, plc, Vanda Pharmaceuticals, Inc. and NitroMed, Inc. Dr. Karabelas also previously served as Chairman at SkyePharma, plc and Human Genome Sciences. Dr. Karabelas received a B.S. from the University of New Hampshire and a Ph.D. from the Massachusetts College of Pharmacy. Dr. Karabelas's senior management positions at commercial and development-stage biopharmaceutical companies, strong knowledge of strategic and regulatory issues, his insight into international operations and his international perspective on the life sciences industry and healthcare related issues provides him with deep executive leadership, medical, life sciences, regulatory, international and commercial expertise.</w:t>
      </w:r>
    </w:p>
    <w:p>
      <w:pPr>
        <w:spacing w:after="0" w:line="195"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b w:val="1"/>
          <w:bCs w:val="1"/>
          <w:i w:val="1"/>
          <w:iCs w:val="1"/>
          <w:color w:val="auto"/>
        </w:rPr>
        <w:t xml:space="preserve">Daniel Tassé </w:t>
      </w:r>
      <w:r>
        <w:rPr>
          <w:rFonts w:ascii="Arial" w:cs="Arial" w:eastAsia="Arial" w:hAnsi="Arial"/>
          <w:sz w:val="16"/>
          <w:szCs w:val="16"/>
          <w:color w:val="auto"/>
        </w:rPr>
        <w:t>has been a Director since August 2016. Mr. Tassé has served as the Chief Executive Officer and a director of DBV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 a publicly held biopharmaceutical company, since November 2018. From March 2016 to March 2019, he was the Chairman of Alcresta Therapeutics, Inc. (“Alcresta”), a privately held biopharmaceutical company, and from March 2016 to November 2018, he was the Chairman and Chief Executive Officer of Alcresta. Mr. Tassé has served as a director at Indivior PLC (where he is the Senior Independent Director), a London Stock Exchange publicly traded pharmaceutical company, since August 2014. He previously served as a director at Bellerophon Therapeutics, Inc. from December 2013 to May 2019 and HLS Therapeutics Inc. from March 2018 to March 2019. Prior to the acquisition of Ikaria Inc. (“Ikaria”) by Mallinckrodt Pharmaceuticals in April 2015, Mr. Tassé was President, Chief Executive Officer and Chairman of Ikaria and served as the Interim Chief Executive Officer and President of Bellerophon from February 2014 to June 2014. Previously, Mr. Tassé was the General Manager of the Pharmaceuticals and Technologies Business Unit of Baxter International, Inc. and Vice President and Regional Director for Australasia at GlaxoSmithKline plc. Mr. Tassé was a member of the Health Section Governing Board of the Biotechnology Industry Organization, where he participated on the bioethics, regulatory environment and reimbursement committees. Additionally, Mr. Tassé was a member of the board of directors of the Pharmaceutical Research and Manufacturers of America, where he participated on the FDA and biomedical research committee. Mr. Tassé received a B.Sc. in Biochemistry from the University of Montreal. Mr. Tassé has an extensive track record of business building in the healthcare industry, a strong background within critical care, global management experience and a detailed knowledge of the life sciences industry, which provides him with a breadth of executive leadership, life sciences and international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80" w:firstLine="749"/>
        <w:spacing w:after="0" w:line="308" w:lineRule="auto"/>
        <w:rPr>
          <w:sz w:val="20"/>
          <w:szCs w:val="20"/>
          <w:color w:val="auto"/>
        </w:rPr>
      </w:pPr>
      <w:r>
        <w:rPr>
          <w:rFonts w:ascii="Arial" w:cs="Arial" w:eastAsia="Arial" w:hAnsi="Arial"/>
          <w:sz w:val="17"/>
          <w:szCs w:val="17"/>
          <w:color w:val="auto"/>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THE BOARD UNANIMOUSLY RECOMMENDS A VOTE “FOR” EACH DIRECTOR NOMINEE.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229"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Corporate Governance Committee and the Board to determine that the directors should serve as one of our directors. The term of the Class III directors will expire at the 2024 annual meeting of stockholders, and the term of the Class I directors will expire at the 2025 annual meeting of stockholders.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62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Age</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Positions and Offices Held</w:t>
            </w:r>
          </w:p>
        </w:tc>
        <w:tc>
          <w:tcPr>
            <w:tcW w:w="1800" w:type="dxa"/>
            <w:vAlign w:val="bottom"/>
            <w:vMerge w:val="restart"/>
          </w:tcPr>
          <w:p>
            <w:pPr>
              <w:jc w:val="center"/>
              <w:ind w:left="153"/>
              <w:spacing w:after="0"/>
              <w:rPr>
                <w:sz w:val="20"/>
                <w:szCs w:val="20"/>
                <w:color w:val="auto"/>
              </w:rPr>
            </w:pPr>
            <w:r>
              <w:rPr>
                <w:rFonts w:ascii="Arial" w:cs="Arial" w:eastAsia="Arial" w:hAnsi="Arial"/>
                <w:sz w:val="14"/>
                <w:szCs w:val="14"/>
                <w:b w:val="1"/>
                <w:bCs w:val="1"/>
                <w:color w:val="auto"/>
                <w:w w:val="92"/>
              </w:rPr>
              <w:t>Director Since</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with Company</w:t>
            </w: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DEEAF6"/>
          </w:tcPr>
          <w:p>
            <w:pPr>
              <w:ind w:left="20"/>
              <w:spacing w:after="0"/>
              <w:rPr>
                <w:sz w:val="20"/>
                <w:szCs w:val="20"/>
                <w:color w:val="auto"/>
              </w:rPr>
            </w:pPr>
            <w:r>
              <w:rPr>
                <w:rFonts w:ascii="Arial" w:cs="Arial" w:eastAsia="Arial" w:hAnsi="Arial"/>
                <w:sz w:val="18"/>
                <w:szCs w:val="18"/>
                <w:color w:val="auto"/>
              </w:rPr>
              <w:t>Allan M. Fox</w:t>
            </w:r>
          </w:p>
        </w:tc>
        <w:tc>
          <w:tcPr>
            <w:tcW w:w="2620" w:type="dxa"/>
            <w:vAlign w:val="bottom"/>
            <w:shd w:val="clear" w:color="auto" w:fill="DEEAF6"/>
          </w:tcPr>
          <w:p>
            <w:pPr>
              <w:ind w:left="1760"/>
              <w:spacing w:after="0"/>
              <w:rPr>
                <w:sz w:val="20"/>
                <w:szCs w:val="20"/>
                <w:color w:val="auto"/>
              </w:rPr>
            </w:pPr>
            <w:r>
              <w:rPr>
                <w:rFonts w:ascii="Arial" w:cs="Arial" w:eastAsia="Arial" w:hAnsi="Arial"/>
                <w:sz w:val="18"/>
                <w:szCs w:val="18"/>
                <w:color w:val="auto"/>
              </w:rPr>
              <w:t>75</w:t>
            </w:r>
          </w:p>
        </w:tc>
        <w:tc>
          <w:tcPr>
            <w:tcW w:w="29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Chairman of the Board</w:t>
            </w:r>
          </w:p>
        </w:tc>
        <w:tc>
          <w:tcPr>
            <w:tcW w:w="1800" w:type="dxa"/>
            <w:vAlign w:val="bottom"/>
            <w:shd w:val="clear" w:color="auto" w:fill="DEEAF6"/>
          </w:tcPr>
          <w:p>
            <w:pPr>
              <w:jc w:val="center"/>
              <w:ind w:left="153"/>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Alexandra Glucksmann, Ph.D.</w:t>
            </w:r>
          </w:p>
        </w:tc>
        <w:tc>
          <w:tcPr>
            <w:tcW w:w="2620" w:type="dxa"/>
            <w:vAlign w:val="bottom"/>
          </w:tcPr>
          <w:p>
            <w:pPr>
              <w:ind w:left="1760"/>
              <w:spacing w:after="0"/>
              <w:rPr>
                <w:sz w:val="20"/>
                <w:szCs w:val="20"/>
                <w:color w:val="auto"/>
              </w:rPr>
            </w:pPr>
            <w:r>
              <w:rPr>
                <w:rFonts w:ascii="Arial" w:cs="Arial" w:eastAsia="Arial" w:hAnsi="Arial"/>
                <w:sz w:val="18"/>
                <w:szCs w:val="18"/>
                <w:color w:val="auto"/>
              </w:rPr>
              <w:t>64</w:t>
            </w:r>
          </w:p>
        </w:tc>
        <w:tc>
          <w:tcPr>
            <w:tcW w:w="2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ind w:left="153"/>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49"/>
        </w:trPr>
        <w:tc>
          <w:tcPr>
            <w:tcW w:w="3900" w:type="dxa"/>
            <w:vAlign w:val="bottom"/>
            <w:shd w:val="clear" w:color="auto" w:fill="DEEAF6"/>
          </w:tcPr>
          <w:p>
            <w:pPr>
              <w:ind w:left="20"/>
              <w:spacing w:after="0"/>
              <w:rPr>
                <w:sz w:val="20"/>
                <w:szCs w:val="20"/>
                <w:color w:val="auto"/>
              </w:rPr>
            </w:pPr>
            <w:r>
              <w:rPr>
                <w:rFonts w:ascii="Arial" w:cs="Arial" w:eastAsia="Arial" w:hAnsi="Arial"/>
                <w:sz w:val="18"/>
                <w:szCs w:val="18"/>
                <w:color w:val="auto"/>
              </w:rPr>
              <w:t>George Migausky</w:t>
            </w:r>
          </w:p>
        </w:tc>
        <w:tc>
          <w:tcPr>
            <w:tcW w:w="2620" w:type="dxa"/>
            <w:vAlign w:val="bottom"/>
            <w:shd w:val="clear" w:color="auto" w:fill="DEEAF6"/>
          </w:tcPr>
          <w:p>
            <w:pPr>
              <w:ind w:left="1760"/>
              <w:spacing w:after="0"/>
              <w:rPr>
                <w:sz w:val="20"/>
                <w:szCs w:val="20"/>
                <w:color w:val="auto"/>
              </w:rPr>
            </w:pPr>
            <w:r>
              <w:rPr>
                <w:rFonts w:ascii="Arial" w:cs="Arial" w:eastAsia="Arial" w:hAnsi="Arial"/>
                <w:sz w:val="18"/>
                <w:szCs w:val="18"/>
                <w:color w:val="auto"/>
              </w:rPr>
              <w:t>68</w:t>
            </w:r>
          </w:p>
        </w:tc>
        <w:tc>
          <w:tcPr>
            <w:tcW w:w="29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shd w:val="clear" w:color="auto" w:fill="DEEAF6"/>
          </w:tcPr>
          <w:p>
            <w:pPr>
              <w:jc w:val="center"/>
              <w:ind w:left="153"/>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8"/>
                <w:szCs w:val="18"/>
                <w:color w:val="auto"/>
              </w:rPr>
              <w:t>Kenneth T. Mills</w:t>
            </w:r>
          </w:p>
        </w:tc>
        <w:tc>
          <w:tcPr>
            <w:tcW w:w="2620" w:type="dxa"/>
            <w:vAlign w:val="bottom"/>
          </w:tcPr>
          <w:p>
            <w:pPr>
              <w:ind w:left="1760"/>
              <w:spacing w:after="0"/>
              <w:rPr>
                <w:sz w:val="20"/>
                <w:szCs w:val="20"/>
                <w:color w:val="auto"/>
              </w:rPr>
            </w:pPr>
            <w:r>
              <w:rPr>
                <w:rFonts w:ascii="Arial" w:cs="Arial" w:eastAsia="Arial" w:hAnsi="Arial"/>
                <w:sz w:val="18"/>
                <w:szCs w:val="18"/>
                <w:color w:val="auto"/>
              </w:rPr>
              <w:t>48</w:t>
            </w:r>
          </w:p>
        </w:tc>
        <w:tc>
          <w:tcPr>
            <w:tcW w:w="2920" w:type="dxa"/>
            <w:vAlign w:val="bottom"/>
          </w:tcPr>
          <w:p>
            <w:pPr>
              <w:ind w:left="620"/>
              <w:spacing w:after="0"/>
              <w:rPr>
                <w:sz w:val="20"/>
                <w:szCs w:val="20"/>
                <w:color w:val="auto"/>
              </w:rPr>
            </w:pPr>
            <w:r>
              <w:rPr>
                <w:rFonts w:ascii="Arial" w:cs="Arial" w:eastAsia="Arial" w:hAnsi="Arial"/>
                <w:sz w:val="18"/>
                <w:szCs w:val="18"/>
                <w:color w:val="auto"/>
              </w:rPr>
              <w:t>Director, President and</w:t>
            </w:r>
          </w:p>
        </w:tc>
        <w:tc>
          <w:tcPr>
            <w:tcW w:w="1800" w:type="dxa"/>
            <w:vAlign w:val="bottom"/>
          </w:tcPr>
          <w:p>
            <w:pPr>
              <w:jc w:val="center"/>
              <w:ind w:left="153"/>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DEEAF6"/>
          </w:tcPr>
          <w:p>
            <w:pPr>
              <w:ind w:left="20"/>
              <w:spacing w:after="0"/>
              <w:rPr>
                <w:sz w:val="20"/>
                <w:szCs w:val="20"/>
                <w:color w:val="auto"/>
              </w:rPr>
            </w:pPr>
            <w:r>
              <w:rPr>
                <w:rFonts w:ascii="Arial" w:cs="Arial" w:eastAsia="Arial" w:hAnsi="Arial"/>
                <w:sz w:val="18"/>
                <w:szCs w:val="18"/>
                <w:color w:val="auto"/>
              </w:rPr>
              <w:t>David C. Stump, M.D.</w:t>
            </w:r>
          </w:p>
        </w:tc>
        <w:tc>
          <w:tcPr>
            <w:tcW w:w="2620" w:type="dxa"/>
            <w:vAlign w:val="bottom"/>
            <w:shd w:val="clear" w:color="auto" w:fill="DEEAF6"/>
          </w:tcPr>
          <w:p>
            <w:pPr>
              <w:ind w:left="1760"/>
              <w:spacing w:after="0"/>
              <w:rPr>
                <w:sz w:val="20"/>
                <w:szCs w:val="20"/>
                <w:color w:val="auto"/>
              </w:rPr>
            </w:pPr>
            <w:r>
              <w:rPr>
                <w:rFonts w:ascii="Arial" w:cs="Arial" w:eastAsia="Arial" w:hAnsi="Arial"/>
                <w:sz w:val="18"/>
                <w:szCs w:val="18"/>
                <w:color w:val="auto"/>
              </w:rPr>
              <w:t>73</w:t>
            </w:r>
          </w:p>
        </w:tc>
        <w:tc>
          <w:tcPr>
            <w:tcW w:w="29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shd w:val="clear" w:color="auto" w:fill="DEEAF6"/>
          </w:tcPr>
          <w:p>
            <w:pPr>
              <w:jc w:val="center"/>
              <w:ind w:left="153"/>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Jennifer Zachary</w:t>
            </w:r>
          </w:p>
        </w:tc>
        <w:tc>
          <w:tcPr>
            <w:tcW w:w="2620" w:type="dxa"/>
            <w:vAlign w:val="bottom"/>
          </w:tcPr>
          <w:p>
            <w:pPr>
              <w:ind w:left="1760"/>
              <w:spacing w:after="0"/>
              <w:rPr>
                <w:sz w:val="20"/>
                <w:szCs w:val="20"/>
                <w:color w:val="auto"/>
              </w:rPr>
            </w:pPr>
            <w:r>
              <w:rPr>
                <w:rFonts w:ascii="Arial" w:cs="Arial" w:eastAsia="Arial" w:hAnsi="Arial"/>
                <w:sz w:val="18"/>
                <w:szCs w:val="18"/>
                <w:color w:val="auto"/>
              </w:rPr>
              <w:t>45</w:t>
            </w:r>
          </w:p>
        </w:tc>
        <w:tc>
          <w:tcPr>
            <w:tcW w:w="2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ind w:left="15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661"/>
        </w:trPr>
        <w:tc>
          <w:tcPr>
            <w:tcW w:w="3900" w:type="dxa"/>
            <w:vAlign w:val="bottom"/>
          </w:tcPr>
          <w:p>
            <w:pPr>
              <w:spacing w:after="0"/>
              <w:rPr>
                <w:sz w:val="24"/>
                <w:szCs w:val="24"/>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6</w:t>
            </w:r>
          </w:p>
        </w:tc>
        <w:tc>
          <w:tcPr>
            <w:tcW w:w="2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 w:name="page9"/>
    <w:bookmarkEnd w:id="8"/>
    <w:p>
      <w:pPr>
        <w:ind w:left="760"/>
        <w:spacing w:after="0"/>
        <w:rPr>
          <w:sz w:val="20"/>
          <w:szCs w:val="20"/>
          <w:color w:val="auto"/>
        </w:rPr>
      </w:pPr>
      <w:r>
        <w:rPr>
          <w:rFonts w:ascii="Arial" w:cs="Arial" w:eastAsia="Arial" w:hAnsi="Arial"/>
          <w:sz w:val="18"/>
          <w:szCs w:val="18"/>
          <w:b w:val="1"/>
          <w:bCs w:val="1"/>
          <w:i w:val="1"/>
          <w:iCs w:val="1"/>
          <w:color w:val="auto"/>
        </w:rPr>
        <w:t>Class III Directors (Terms Expire in 2024)</w:t>
      </w:r>
    </w:p>
    <w:p>
      <w:pPr>
        <w:spacing w:after="0" w:line="225"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b w:val="1"/>
          <w:bCs w:val="1"/>
          <w:i w:val="1"/>
          <w:iCs w:val="1"/>
          <w:color w:val="auto"/>
        </w:rPr>
        <w:t xml:space="preserve">George Migausky </w:t>
      </w:r>
      <w:r>
        <w:rPr>
          <w:rFonts w:ascii="Arial" w:cs="Arial" w:eastAsia="Arial" w:hAnsi="Arial"/>
          <w:sz w:val="16"/>
          <w:szCs w:val="16"/>
          <w:color w:val="auto"/>
        </w:rPr>
        <w:t>has been a Director since September 2021. Mr. Migausky has more than 30 years of experience in the life sciences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having served as Chief Financial Officer for several public biopharmaceutical and clinical diagnostic companies. From April 2017 to September 2017, Mr. Migausky served as interim Chief Financial Officer for Ocular Therapeutix, Inc., a biopharmaceutical company. Prior to that, he served as Chief Financial Officer of Dyax Corp., a biopharmaceutical company, from August 2008 through the company’s acquisition by Shire plc in January 2016. Prior to that, Mr. Migausky served as Chief Financial Officer of Wellstat Management Company, a biotechnology company, from 2007 to 2008, and Chief Financial Officer of IGEN International, Inc., a biotechnology company, and BioVeris Corporation, a diagnostics company, from 1986 through their acquisitions by F. Hoffman LaRoche in 2004 and 2007, respectively. Mr. Migausky has served as a director at Immunovant, Inc., a publicly held biopharmaceutical company, since December 2019. He has also served as a trustee at the Massachusetts Eye and Ear Institute since 2015. Mr. Migausky previously served as a director at Dimension Therapeutics, Inc. from June 2015 through the company’s acquisition by Ultragenyx Pharmaceutical Inc. in November 2017, at Abeona Therapeutics Inc. from June 2020 to September 2020 and at Hyperion Catalysis International, a privately held electrical manufacturing company, from 2008 to August 2022. He received a B.S. from Boston College and an M.B.A. from Babson College. Mr. Migausky has specific attributes that qualify him to continue to serve as a member of the Board, including his significant experience in executive leadership positions in the life sciences industry and serving on the boards of directors and audit committees of publicly traded biopharmaceutical companies.</w:t>
      </w:r>
    </w:p>
    <w:p>
      <w:pPr>
        <w:spacing w:after="0" w:line="174"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b w:val="1"/>
          <w:bCs w:val="1"/>
          <w:i w:val="1"/>
          <w:iCs w:val="1"/>
          <w:color w:val="auto"/>
        </w:rPr>
        <w:t xml:space="preserve">Kenneth T. Mills </w:t>
      </w:r>
      <w:r>
        <w:rPr>
          <w:rFonts w:ascii="Arial" w:cs="Arial" w:eastAsia="Arial" w:hAnsi="Arial"/>
          <w:sz w:val="16"/>
          <w:szCs w:val="16"/>
          <w:color w:val="auto"/>
        </w:rPr>
        <w:t>has been our President, Chief Executive Officer and Director since March 2009. Mr. Mills was with FOXKISER,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Partner, from January 2007 to January 2015. Mr. Mills was previously the Chief Financial Officer and Vice President of Business Development at Meso Scale Diagnostics, a life sciences company, from January 2004 to December 2006 and was part of the original management team that established the company’s operations and financing strategy. From March 1997 to December 2003, Mr. Mills was employed at IGEN International, Inc., a biotechnology company, where he served as Director of Business Development up through the company’s acquisition by Roche. Mr. Mills received an S.B. in Chemistry from the Massachusetts Institute of Technology. Mr. Mills’ qualifications to continue to serve as a member of the Board include his extensive experience as an executive in the gene therapy and biotechnology industries, including as President and Chief Executive Officer of our Company, his prior service as a senior-level executive in both early stage and mature biotechnology companies and his demonstrated business judgment.</w:t>
      </w:r>
    </w:p>
    <w:p>
      <w:pPr>
        <w:spacing w:after="0" w:line="165" w:lineRule="exact"/>
        <w:rPr>
          <w:sz w:val="20"/>
          <w:szCs w:val="20"/>
          <w:color w:val="auto"/>
        </w:rPr>
      </w:pPr>
    </w:p>
    <w:p>
      <w:pPr>
        <w:jc w:val="both"/>
        <w:ind w:right="100" w:firstLine="749"/>
        <w:spacing w:after="0" w:line="287" w:lineRule="auto"/>
        <w:rPr>
          <w:sz w:val="20"/>
          <w:szCs w:val="20"/>
          <w:color w:val="auto"/>
        </w:rPr>
      </w:pPr>
      <w:r>
        <w:rPr>
          <w:rFonts w:ascii="Arial" w:cs="Arial" w:eastAsia="Arial" w:hAnsi="Arial"/>
          <w:sz w:val="16"/>
          <w:szCs w:val="16"/>
          <w:b w:val="1"/>
          <w:bCs w:val="1"/>
          <w:i w:val="1"/>
          <w:iCs w:val="1"/>
          <w:color w:val="auto"/>
        </w:rPr>
        <w:t xml:space="preserve">David C. Stump, M.D., </w:t>
      </w:r>
      <w:r>
        <w:rPr>
          <w:rFonts w:ascii="Arial" w:cs="Arial" w:eastAsia="Arial" w:hAnsi="Arial"/>
          <w:sz w:val="16"/>
          <w:szCs w:val="16"/>
          <w:color w:val="auto"/>
        </w:rPr>
        <w:t>has been a Director since October 2015. From November 1999 to December 2012, Dr. Stump was with Human Genome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Inc., a biopharmaceutical company, as Executive Vice President, Research and Development from May 2007 to December 2012, Executive Vice President, Drug Development from December 2003 to May 2007 and Senior Vice President, Drug Development from November 1999 to December 2003.</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joining Human Genome Sciences, Dr. Stump held roles of increasing responsibility at Genentech, Inc., a biopharmaceutical company, from 1989 to 1999, including Vice President, Clinical Research and Genentech Fellow. Prior to joining Genentech, Dr. Stump was an Associate Professor of Medicine and Biochemistry at the University of Vermont. Dr. Stump has served as a director at MacroGenics, Inc., a publicly held biopharmaceutical company, since September 2013. He also currently serves on the board of trustees of Earlham College. Dr. Stump previously served as a director at Sunesis Pharmaceuticals, Inc. from June 2006 to February 2021, Portola Pharmaceuticals, Inc. from September 2015 to July 2020 and Dendreon Corporation, a biotechnology company, from June 2010 to June 2015. Dr. Stump holds an A.B. from Earlham College and an M.D. from Indiana University and completed his residency and fellowship training in internal medicine, hematology, oncology and biochemistry at the University of Iowa. Dr. Stump has specific attributes that qualify him to continue to serve as a member of the Board, including his substantial medical and scientific background and expertise, his extensive experience in research and development and operations in the biotechnology industry and his prior service on public company boards.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Class I Directors (Terms Expire in 2025)</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Allan M. Fox </w:t>
      </w:r>
      <w:r>
        <w:rPr>
          <w:rFonts w:ascii="Arial" w:cs="Arial" w:eastAsia="Arial" w:hAnsi="Arial"/>
          <w:sz w:val="17"/>
          <w:szCs w:val="17"/>
          <w:color w:val="auto"/>
        </w:rPr>
        <w:t>has been the Chairman of the Board since July 2020 and a Director since February 2009. Mr. Fox is the founding partner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FOXKISER, a firm committed to the strategic development of transformative innovations from biomedical research, which was formed in September 1986. Mr. Fox specializes in identifying business opportunities and improving competitive market positions. Through FOXKISER, he has participated in the formation and development of numerous ventures in the public and private sectors, including the founding of REGENXBIO and Dimension Therapeutics, Inc. Before forming FOXKISER, Mr. Fox co-led the establishment of the Washington 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Mr. Fox was a Fellow in Law, Science and Medicine at Yale Law School where he received an LL.M. degree. Mr. Fox also holds a J.D. and B.A. from Temple University. Mr. Fox has specific attributes that qualify him to continue to serve as a member of the Board, including his broad experience in providing strategic advice to and investing in biotechnology companies throughout their life cycles, his expertise in identifying business opportunities, his deep experience with REGENXBIO since the time of its founding and his current and prior service on boards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ind w:right="20" w:firstLine="749"/>
        <w:spacing w:after="0" w:line="287" w:lineRule="auto"/>
        <w:rPr>
          <w:sz w:val="20"/>
          <w:szCs w:val="20"/>
          <w:color w:val="auto"/>
        </w:rPr>
      </w:pPr>
      <w:r>
        <w:rPr>
          <w:rFonts w:ascii="Arial" w:cs="Arial" w:eastAsia="Arial" w:hAnsi="Arial"/>
          <w:sz w:val="16"/>
          <w:szCs w:val="16"/>
          <w:b w:val="1"/>
          <w:bCs w:val="1"/>
          <w:i w:val="1"/>
          <w:iCs w:val="1"/>
          <w:color w:val="auto"/>
        </w:rPr>
        <w:t xml:space="preserve">Alexandra Glucksmann, Ph.D., </w:t>
      </w:r>
      <w:r>
        <w:rPr>
          <w:rFonts w:ascii="Arial" w:cs="Arial" w:eastAsia="Arial" w:hAnsi="Arial"/>
          <w:sz w:val="16"/>
          <w:szCs w:val="16"/>
          <w:color w:val="auto"/>
        </w:rPr>
        <w:t>has been a Director since May 2018. Dr. Glucksmann has served as a director at Scenic Biotech BV, a privately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biotechnology company, since September 2017. From April 2018 to November 2022 Dr. Glucksmann served as the President and Chief Executive Officer and a director at Cedilla Therapeutics, Inc., a privately held biotechnology company, and from October 2017 to March 2018, Dr. Glucksmann was an Entrepreneur-in-Residence at Third Rock Ventures, LLC, a privately held healthcare venture firm, where she focused on company formation. She was also a founding employee of Editas Medicine, Inc., a publicly held biotechnology company, and served as its Chief Operating Officer from October 2013 to March 2017. Prior to that, Dr. Glucksmann was a founding employee of Cerulean Pharma Inc., a publicly held biotechnology company, and served as its Senior Vice President of research and business operations from September 2006 to June 2013. From August 2006 to May 2015, she served as a director at Taconic Biosciences, Inc. Dr. Glucksmann received a B.S. in Bacteriology from the University of Wisconsin-Madison and a Ph.D. in Molecular Genetics and Cell Biology from the University of Chicago, and she completed her postdoctoral fellowship at the Massachusetts Institute of Technology. Dr. Glucksmann’s qualifications to continue to serve as a member of the Board include her extensive experience in senior management positions at biotechnology companies, particularly her experience in the formation and development of biotechnology companies.</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b w:val="1"/>
          <w:bCs w:val="1"/>
          <w:i w:val="1"/>
          <w:iCs w:val="1"/>
          <w:color w:val="auto"/>
        </w:rPr>
        <w:t xml:space="preserve">Jennifer Zachary </w:t>
      </w:r>
      <w:r>
        <w:rPr>
          <w:rFonts w:ascii="Arial" w:cs="Arial" w:eastAsia="Arial" w:hAnsi="Arial"/>
          <w:sz w:val="17"/>
          <w:szCs w:val="17"/>
          <w:color w:val="auto"/>
        </w:rPr>
        <w:t>currently serves as the Executive Vice President and General Counsel of Merck &amp; Co., Inc. In this role, she serves as a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advisor to Merck’s directors and executives, leads the company’s office of general counsel and sets the company’s global legal strategy. She is also responsible for the company’s global safety and environment, and global security functions. Prior to joining Merck, Ms. Zachary was a partner at the international law firm Covington &amp; Burling, LLP. She practiced in the area of pharmaceutical and medical device regulatory law and advised a wide range of manufacturers and trade associations on compliance with government requirements for the development, manufacture and sale of their products. Prior to that, Ms. Zachary served as an Associate Chief Counsel for enforcement at the FDA and as a Special Assistant U.S. Attorney in the Civil Division of the U.S. Attorney’s Office for the District of Columbia. Ms. Zachary holds a B.S./B.A. in biology and chemistry from Arizona State University and a J.D. from Harvard Law School. Ms. Zachary has specific attributes that qualify her to continue to serve as a member of the Board, including her government service related to health care and regulatory compliance, experience in senior management positions at a large biopharmaceutical company and a global law firm, and her strong knowledge of strategic, legal and regulatory issues.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229"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The Company seeks to enhance stockholder value while embodying its core values of Trust, Accountability, Perseverance and Innovation (our “Core Values”). As part of our Core Values the Company engages in the following areas to further our environmental, social and governance strategy: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Environmental Footprint</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Company is cognizant of its impact on the wider environment. In recognition of that impact, the Company's Rockville, Maryland headquarters is Leadership in Energy and Environmental Design Gold certified. Further the Company is engaging in multiple initiatives that are designed to improve manufacturing yields and is measuring its baseline emissions to reduce waste.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Diversity, Equity and Inclusion</w:t>
      </w:r>
    </w:p>
    <w:p>
      <w:pPr>
        <w:spacing w:after="0" w:line="225"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The Company strongly supports efforts to promote diversity, equity and inclusion (“DEI”), as we believe that a diverse, equitable and inclusive culture fosters innovation, which is integral to our mission. We are firmly committed to providing equal opportunity in all aspects of employment and have established a DEI Champion Group to further our DEI initiatives. The DEI Champion Group is supported by an executive sponsor and through activities and programs facilitates employee engagement to increase understanding and celebration of the Company's diverse workforce. Our commitment to DEI is also reflected in our workforce population that includes 54% identifying as female and 46% from historically underrepresented minority populations. We have also emphasized DEI as part of our company culture, as set out in our Code of Business Conduct and Ethics, and we are determined to support further progress in this area.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Board has adopted corporate governance guidelines, which, along with our Certificate of Incorporation and Bylaws, and the charters of the committees of the Board, provide the framework for our corporate governance. Our current corporate governance guidelines can be found, together with other corporate governance information, in the corporate governance section of our website at www.regenxbio.com. The Board also evaluates the charters of its committees from time to time,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749"/>
        <w:spacing w:after="0" w:line="285" w:lineRule="auto"/>
        <w:rPr>
          <w:sz w:val="20"/>
          <w:szCs w:val="20"/>
          <w:color w:val="auto"/>
        </w:rPr>
      </w:pPr>
      <w:r>
        <w:rPr>
          <w:rFonts w:ascii="Arial" w:cs="Arial" w:eastAsia="Arial" w:hAnsi="Arial"/>
          <w:sz w:val="16"/>
          <w:szCs w:val="16"/>
          <w:color w:val="auto"/>
        </w:rPr>
        <w:t>We maintain a code of business conduct and ethics that qualifies as a “code of ethics” under Item 406 of the Securities and Exchange Commission’s (the “SEC”) Regulation S-K and applies to each of our directors, officers and employees, including our principal executive officer, principal financial officer, principal accounting officer and controller, or persons performing similar functions. The code of business conduct and ethics addresses various topics, including: (1) compliance with applicable laws, rules and regulations; (2) conflicts of interest; (3) public disclosure of information; (4) insider trading; (5) corporate opportunities; (6) competition and fair dealing; (7) gifts; (8) discrimination, harassment and retaliation; (9) health and safety;</w:t>
      </w:r>
    </w:p>
    <w:p>
      <w:pPr>
        <w:spacing w:after="0" w:line="2" w:lineRule="exact"/>
        <w:rPr>
          <w:sz w:val="20"/>
          <w:szCs w:val="20"/>
          <w:color w:val="auto"/>
        </w:rPr>
      </w:pPr>
    </w:p>
    <w:p>
      <w:pPr>
        <w:ind w:right="140" w:firstLine="8"/>
        <w:spacing w:after="0" w:line="260"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 keeping; (11) confidentiality; (12) protection and proper use of company assets; (13) prevention of corruption; and (14) the reporting of illegal and unethical behavior.</w:t>
      </w:r>
    </w:p>
    <w:p>
      <w:pPr>
        <w:spacing w:after="0" w:line="185"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The code of business conduct and ethics is available in the corporate governance section of our website at www.regenxbio.com. Any amendment or waiver of the “code of ethics” provisions of the code of business conduct and ethics for an executive officer or director may be granted only by the Board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current report filed with the SEC on Form 8-K or on our website at www.regenxbio.com.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As required under Nasdaq listing standards, a majority of the members of a listed company’s board of directors must qualify as “independent,” as affirmatively determined by the board of directors. Consistent with these regulations, after review of all relevant transactions or relationships between each director, or any of such director’s family members, and the Company, its senior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120"/>
        <w:spacing w:after="0" w:line="286" w:lineRule="auto"/>
        <w:rPr>
          <w:sz w:val="20"/>
          <w:szCs w:val="20"/>
          <w:color w:val="auto"/>
        </w:rPr>
      </w:pPr>
      <w:r>
        <w:rPr>
          <w:rFonts w:ascii="Arial" w:cs="Arial" w:eastAsia="Arial" w:hAnsi="Arial"/>
          <w:sz w:val="17"/>
          <w:szCs w:val="17"/>
          <w:color w:val="auto"/>
        </w:rPr>
        <w:t>management and its independent registered public accounting firm, the Board has determined that all of our current directors are independent directors within the meaning of applicable Nasdaq listing standards, except for Kenneth T. Mills, our President and CEO, and Allan M. Fox. In addition, our former director Daniel J. Abdun-Nabi, who did not stand for re-election at the 2022 annual meeting, was also independent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Board of Directors and its Committees</w:t>
      </w:r>
    </w:p>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As required under Nasdaq listing standards, our independent directors meet in regularly scheduled executive sessions at which only independent directors are present.</w:t>
      </w:r>
    </w:p>
    <w:p>
      <w:pPr>
        <w:spacing w:after="0" w:line="170"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Board has an Audit Committee, a Compensation Committee and a Nominating and Corporate Governance Committee. The following table provides membership and meeting information for each of the Board committees during 2022:</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Committee</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Chair</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Non-Chair Members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Meetings in 2022</w:t>
            </w:r>
          </w:p>
        </w:tc>
      </w:tr>
      <w:tr>
        <w:trPr>
          <w:trHeight w:val="192"/>
        </w:trPr>
        <w:tc>
          <w:tcPr>
            <w:tcW w:w="29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Audit Committee</w:t>
            </w:r>
          </w:p>
        </w:tc>
        <w:tc>
          <w:tcPr>
            <w:tcW w:w="29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0"/>
              </w:rPr>
              <w:t>George Migausky</w:t>
            </w:r>
          </w:p>
        </w:tc>
        <w:tc>
          <w:tcPr>
            <w:tcW w:w="29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0"/>
              </w:rPr>
              <w:t>Jennifer Zachary</w:t>
            </w:r>
          </w:p>
        </w:tc>
        <w:tc>
          <w:tcPr>
            <w:tcW w:w="2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4</w:t>
            </w:r>
          </w:p>
        </w:tc>
      </w:tr>
      <w:tr>
        <w:trPr>
          <w:trHeight w:val="237"/>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David C. Stump, M.D.</w:t>
            </w:r>
          </w:p>
        </w:tc>
        <w:tc>
          <w:tcPr>
            <w:tcW w:w="2360" w:type="dxa"/>
            <w:vAlign w:val="bottom"/>
            <w:tcBorders>
              <w:bottom w:val="single" w:sz="8" w:color="auto"/>
              <w:right w:val="single" w:sz="8" w:color="auto"/>
            </w:tcBorders>
          </w:tcPr>
          <w:p>
            <w:pPr>
              <w:spacing w:after="0"/>
              <w:rPr>
                <w:sz w:val="20"/>
                <w:szCs w:val="20"/>
                <w:color w:val="auto"/>
              </w:rPr>
            </w:pPr>
          </w:p>
        </w:tc>
      </w:tr>
      <w:tr>
        <w:trPr>
          <w:trHeight w:val="215"/>
        </w:trPr>
        <w:tc>
          <w:tcPr>
            <w:tcW w:w="2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Daniel Tassé</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A.N. “Jerry” Karabelas, Ph.D.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r>
      <w:tr>
        <w:trPr>
          <w:trHeight w:val="237"/>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Alexandra Glucksmann, Ph.D.</w:t>
            </w:r>
          </w:p>
        </w:tc>
        <w:tc>
          <w:tcPr>
            <w:tcW w:w="2360" w:type="dxa"/>
            <w:vAlign w:val="bottom"/>
            <w:tcBorders>
              <w:bottom w:val="single" w:sz="8" w:color="auto"/>
              <w:right w:val="single" w:sz="8" w:color="auto"/>
            </w:tcBorders>
          </w:tcPr>
          <w:p>
            <w:pPr>
              <w:spacing w:after="0"/>
              <w:rPr>
                <w:sz w:val="20"/>
                <w:szCs w:val="20"/>
                <w:color w:val="auto"/>
              </w:rPr>
            </w:pPr>
          </w:p>
        </w:tc>
      </w:tr>
      <w:tr>
        <w:trPr>
          <w:trHeight w:val="215"/>
        </w:trPr>
        <w:tc>
          <w:tcPr>
            <w:tcW w:w="2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Nominating and Corporate Governance</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David C. Stump, M.D.</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Jean Bennett, M.D., Ph.D.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r>
      <w:tr>
        <w:trPr>
          <w:trHeight w:val="237"/>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Committee</w:t>
            </w:r>
          </w:p>
        </w:tc>
        <w:tc>
          <w:tcPr>
            <w:tcW w:w="29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r>
    </w:tbl>
    <w:p>
      <w:pPr>
        <w:spacing w:after="0" w:line="242"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Below is a description of each committee of the Board. The Board has determined that each member of the Audit, Compensation and Nominating and Corporate Governance Committees meets applicable rules and regulations regarding “independence” and that each such member is free of any relationship that would interfere with his or her individual exercise of independent judgment with regard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Audit Committee of the Board oversees the quality and integrity of the Company’s financial statements and other financial information provided to the Company’s stockholders, the retention and performance of the Company’s independent accountants, the effectiveness of the Company’s internal controls and disclosure controls, and the Company’s compliance with ethics policies and SEC and related regulatory requirements. Pursuant to the Audit Committee charter, the functions of the Audit Committee include, among other things:</w:t>
      </w:r>
    </w:p>
    <w:p>
      <w:pPr>
        <w:spacing w:after="0" w:line="187" w:lineRule="exact"/>
        <w:rPr>
          <w:sz w:val="20"/>
          <w:szCs w:val="20"/>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236" w:lineRule="exact"/>
        <w:rPr>
          <w:rFonts w:ascii="Arial" w:cs="Arial" w:eastAsia="Arial" w:hAnsi="Arial"/>
          <w:sz w:val="17"/>
          <w:szCs w:val="17"/>
          <w:color w:val="auto"/>
        </w:rPr>
      </w:pPr>
    </w:p>
    <w:p>
      <w:pPr>
        <w:ind w:left="1140" w:right="36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our annual and quarterly financial statements and related disclosures;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and our disclosure controls and procedures;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independently with our registered public accounting firm and management;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furnishing the Audit Committee Report required by SEC rules;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Audit Committee charter can be found in the corporate governance section of our website at www.regenxbio.com.</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Three directors currently comprise the Audit Committee: Mr. Migausky (the Chair of the Audit Committee), Ms. Zachary and Dr. Stump. The Audit Committee met four times during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240" w:firstLine="749"/>
        <w:spacing w:after="0" w:line="263"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 Nasdaq. The Board has determined that Mr. Migausky is an “audit committee financial expert,” as defined by applicable SEC rules, and has the requisite financial sophistication as defined under the applicable Nasdaq listing standards.</w:t>
      </w:r>
    </w:p>
    <w:p>
      <w:pPr>
        <w:spacing w:after="0" w:line="184"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Board annually reviews the Nasdaq listing standards definition of independence for Audit Committee members and has determined that all members of our Audit Committee are independent (as independence is currently defined in applicable Nasdaq listing standards and Rule 10A-3 promulgated under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Compensation Committee of the Board reviews and approves the design of, assesses the effectiveness of, and administers executive compensation programs for officers and employees, including our equity incentive plans. Pursuant to the Compensation Committee charter, the functions of the Compensation Committee include, among other things:</w:t>
      </w:r>
    </w:p>
    <w:p>
      <w:pPr>
        <w:spacing w:after="0" w:line="184" w:lineRule="exact"/>
        <w:rPr>
          <w:sz w:val="20"/>
          <w:szCs w:val="20"/>
          <w:color w:val="auto"/>
        </w:rPr>
      </w:pPr>
    </w:p>
    <w:p>
      <w:pPr>
        <w:ind w:left="1140" w:right="12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("CEO") and determining the CEO’s salary and contingent compensation based on his or her performance and other relevant criteria;</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the corporate and individual objectives governing the CEO’s compensation;</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the compensation of our other executive officers;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non-employee director compensation;</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terms of material agreements between us and our executive officers;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equity incentive plans and employee benefit plans;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policies and procedures relating to the perquisites and expense accounts of our executive officers;</w:t>
      </w:r>
    </w:p>
    <w:p>
      <w:pPr>
        <w:spacing w:after="0" w:line="225" w:lineRule="exact"/>
        <w:rPr>
          <w:rFonts w:ascii="Arial" w:cs="Arial" w:eastAsia="Arial" w:hAnsi="Arial"/>
          <w:sz w:val="18"/>
          <w:szCs w:val="18"/>
          <w:color w:val="auto"/>
        </w:rPr>
      </w:pPr>
    </w:p>
    <w:p>
      <w:pPr>
        <w:ind w:left="1140" w:right="42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the Company’s annual Compensation Discussion and Analysis to be included in the Company’s annual proxy statement and preparing the annual Compensation Committee report required by SEC rules;</w:t>
      </w:r>
    </w:p>
    <w:p>
      <w:pPr>
        <w:spacing w:after="0" w:line="170"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selecting the companies in the Company’s peer group for purposes of assessing the compensation paid to the Company’s executive officers;</w:t>
      </w:r>
    </w:p>
    <w:p>
      <w:pPr>
        <w:spacing w:after="0" w:line="170"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an annual assessment of material risk exposures associated with the Company’s compensation policies and practices and the mitigation thereof;</w:t>
      </w:r>
    </w:p>
    <w:p>
      <w:pPr>
        <w:spacing w:after="0" w:line="170" w:lineRule="exact"/>
        <w:rPr>
          <w:rFonts w:ascii="Arial" w:cs="Arial" w:eastAsia="Arial" w:hAnsi="Arial"/>
          <w:sz w:val="18"/>
          <w:szCs w:val="18"/>
          <w:color w:val="auto"/>
        </w:rPr>
      </w:pPr>
    </w:p>
    <w:p>
      <w:pPr>
        <w:ind w:left="1140" w:right="24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the results of stockholder advisory votes on executive compensation and the frequency of such votes, among other factors, in determining compensation policies and practices; and</w:t>
      </w:r>
    </w:p>
    <w:p>
      <w:pPr>
        <w:spacing w:after="0" w:line="170" w:lineRule="exact"/>
        <w:rPr>
          <w:rFonts w:ascii="Arial" w:cs="Arial" w:eastAsia="Arial" w:hAnsi="Arial"/>
          <w:sz w:val="18"/>
          <w:szCs w:val="18"/>
          <w:color w:val="auto"/>
        </w:rPr>
      </w:pPr>
    </w:p>
    <w:p>
      <w:pPr>
        <w:ind w:left="1140" w:right="30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a review of executive officer succession planning periodically, reporting its findings and recommendations to the Board, and working with the Board in evaluating potential successors to executive officer positions.</w:t>
      </w:r>
    </w:p>
    <w:p>
      <w:pPr>
        <w:spacing w:after="0" w:line="170"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accordance with Nasdaq listing standards and our Compensation Committee charter, the Board has granted our Compensation Committee the authority and responsibility to retain or obtain the advice of compensation consultants, legal counsel and other compensation advisers, the authority to fund such advisers, and the responsibility to consider the independence factors specified under applicable law and any additional factors the Compensation Committee deems relevant. Our Compensation Committee charter can be found in the corporate governance section of our website at www.regenxbio.com.</w:t>
      </w:r>
    </w:p>
    <w:p>
      <w:pPr>
        <w:spacing w:after="0" w:line="15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Three directors currently comprise the Compensation Committee: Mr. Tassé (the Chair of the Compensation Committee) and Drs. Glucksmann and Karabelas. The Compensation Committee met seven times during 2022.</w:t>
      </w:r>
    </w:p>
    <w:p>
      <w:pPr>
        <w:spacing w:after="0" w:line="170"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The Board has determined that all members of the Compensation Committee are independent (as independence is currently defined in the Nasdaq listing standards). In addition, each of our directors serving on our Compensation Committee satisfies the heightened independence standards for members of a compensation committee under Nasdaq listing standards, and is a non-employee director, as defined pursuant to Rule 16b-3 promulgated under the Exchange 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100" w:firstLine="749"/>
        <w:spacing w:after="0" w:line="255" w:lineRule="auto"/>
        <w:rPr>
          <w:sz w:val="20"/>
          <w:szCs w:val="20"/>
          <w:color w:val="auto"/>
        </w:rPr>
      </w:pPr>
      <w:r>
        <w:rPr>
          <w:rFonts w:ascii="Arial" w:cs="Arial" w:eastAsia="Arial" w:hAnsi="Arial"/>
          <w:sz w:val="18"/>
          <w:szCs w:val="18"/>
          <w:color w:val="auto"/>
        </w:rPr>
        <w:t>Our President and CEO often participates in the Compensation Committee’s meetings. He does not participate in the determination of his own compensation or the compensation of directors. Our President and CEO makes recommendations to the Compensation Committee regarding the amount and form of the compensation of the other executive officers and key employees, and he often participates in the Compensation Committee’s deliberations about the compensation of such individuals. Our Executive Vice President ("EVP"), Chief People Officer and our EVP, Chief Legal Officer also regularly participate in the Compensation Committee’s meetings, but they do not participate in the determination of the amount or form of the compensation of executive officers or directors.</w:t>
      </w:r>
    </w:p>
    <w:p>
      <w:pPr>
        <w:spacing w:after="0" w:line="19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Compensation Committee has retained Willis Towers Watson as its independent compensation consultant since April 2019. In connection with the 2022 compensation paid by the Company, Willis Towers Watson provided the Compensation Committee with data about the compensation paid by our peer group of companies, as described below, and other employers who compete with the Company for executives, updated the Compensation Committee on new developments in areas that fall within the Compensation Committee’s jurisdiction and was available to advise the Compensation Committee regarding its responsibilities. The compensation consultant serves at the pleasure of the Compensation Committee rather than the Company, and the consultant’s fees are approved by the Compensation Committee. The Compensation Committee assessed the independence of Willis Towers Watson pursuant to applicable SEC rules and Nasdaq listing standards and concluded that Willis Towers Watson was independent under such standards and that their work did not raise any conflict of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Nominating and Corporate Governance Committee of the Board identifies, evaluates and recommends nominees to the Board and committees of the Board, conducts searches for appropriate directors, and evaluates the performance of the Board, its committees and management against their duties and responsibilities relating to corporate governance. Pursuant to the Nominating and Corporate Governance Committee charter, the functions of the Nominating and Corporate Governance Committee include, among other things:</w:t>
      </w:r>
    </w:p>
    <w:p>
      <w:pPr>
        <w:spacing w:after="0" w:line="187" w:lineRule="exact"/>
        <w:rPr>
          <w:sz w:val="20"/>
          <w:szCs w:val="20"/>
          <w:color w:val="auto"/>
        </w:rPr>
      </w:pPr>
    </w:p>
    <w:p>
      <w:pPr>
        <w:ind w:left="1140" w:right="80" w:hanging="38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criteria for selecting directors set forth in the Company’s corporate governance guidelines and any additional factors deemed appropriate given the needs of the Board and the Company;</w:t>
      </w:r>
    </w:p>
    <w:p>
      <w:pPr>
        <w:spacing w:after="0" w:line="170" w:lineRule="exact"/>
        <w:rPr>
          <w:rFonts w:ascii="Arial" w:cs="Arial" w:eastAsia="Arial" w:hAnsi="Arial"/>
          <w:sz w:val="18"/>
          <w:szCs w:val="18"/>
          <w:color w:val="auto"/>
        </w:rPr>
      </w:pPr>
    </w:p>
    <w:p>
      <w:pPr>
        <w:ind w:left="1140" w:right="160" w:hanging="38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the Board and our stockholders concerning nominees for election to the Board, to each of the Board’s committees and as committee chairs;</w:t>
      </w:r>
    </w:p>
    <w:p>
      <w:pPr>
        <w:spacing w:after="0" w:line="170" w:lineRule="exact"/>
        <w:rPr>
          <w:rFonts w:ascii="Arial" w:cs="Arial" w:eastAsia="Arial" w:hAnsi="Arial"/>
          <w:sz w:val="18"/>
          <w:szCs w:val="18"/>
          <w:color w:val="auto"/>
        </w:rPr>
      </w:pPr>
    </w:p>
    <w:p>
      <w:pPr>
        <w:ind w:left="1140" w:right="580" w:hanging="38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reviewing the performance and effectiveness of the Board, its committees and each individual director, and developing and overseeing a performance evaluation process;</w:t>
      </w:r>
    </w:p>
    <w:p>
      <w:pPr>
        <w:spacing w:after="0" w:line="170" w:lineRule="exact"/>
        <w:rPr>
          <w:rFonts w:ascii="Arial" w:cs="Arial" w:eastAsia="Arial" w:hAnsi="Arial"/>
          <w:sz w:val="18"/>
          <w:szCs w:val="18"/>
          <w:color w:val="auto"/>
        </w:rPr>
      </w:pPr>
    </w:p>
    <w:p>
      <w:pPr>
        <w:ind w:left="1140" w:right="100" w:hanging="38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evaluating the performance of management, the Board and each Board committee against their duties and responsibilities relating to corporate governance;</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evaluating adequacy of our corporate governance structure, policies and procedures; and</w:t>
      </w:r>
    </w:p>
    <w:p>
      <w:pPr>
        <w:spacing w:after="0" w:line="225"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reports to the Board regarding the Nominating and Corporate Governance Committee’s nominations for election to the Board and its committees.</w:t>
      </w:r>
    </w:p>
    <w:p>
      <w:pPr>
        <w:spacing w:after="0" w:line="170" w:lineRule="exact"/>
        <w:rPr>
          <w:sz w:val="20"/>
          <w:szCs w:val="20"/>
          <w:color w:val="auto"/>
        </w:rPr>
      </w:pPr>
    </w:p>
    <w:p>
      <w:pPr>
        <w:ind w:right="1080" w:firstLine="749"/>
        <w:spacing w:after="0" w:line="277" w:lineRule="auto"/>
        <w:rPr>
          <w:sz w:val="20"/>
          <w:szCs w:val="20"/>
          <w:color w:val="auto"/>
        </w:rPr>
      </w:pPr>
      <w:r>
        <w:rPr>
          <w:rFonts w:ascii="Arial" w:cs="Arial" w:eastAsia="Arial" w:hAnsi="Arial"/>
          <w:sz w:val="18"/>
          <w:szCs w:val="18"/>
          <w:color w:val="auto"/>
        </w:rPr>
        <w:t>Our Nominating and Corporate Governance Committee charter can be found in the corporate governance section of our website at www.regenxbio.com.</w:t>
      </w:r>
    </w:p>
    <w:p>
      <w:pPr>
        <w:spacing w:after="0" w:line="170" w:lineRule="exact"/>
        <w:rPr>
          <w:sz w:val="20"/>
          <w:szCs w:val="20"/>
          <w:color w:val="auto"/>
        </w:rPr>
      </w:pPr>
    </w:p>
    <w:p>
      <w:pPr>
        <w:ind w:right="40" w:firstLine="749"/>
        <w:spacing w:after="0" w:line="308" w:lineRule="auto"/>
        <w:rPr>
          <w:sz w:val="20"/>
          <w:szCs w:val="20"/>
          <w:color w:val="auto"/>
        </w:rPr>
      </w:pPr>
      <w:r>
        <w:rPr>
          <w:rFonts w:ascii="Arial" w:cs="Arial" w:eastAsia="Arial" w:hAnsi="Arial"/>
          <w:sz w:val="17"/>
          <w:szCs w:val="17"/>
          <w:color w:val="auto"/>
        </w:rPr>
        <w:t>Two directors currently comprise the Nominating and Corporate Governance Committee: Dr. Stump (the Chair of the Nominating and Corporate Governance Committee) and Dr. Bennett. The Nominating and Corporate Governance Committee met four times during 2022.</w:t>
      </w:r>
    </w:p>
    <w:p>
      <w:pPr>
        <w:spacing w:after="0" w:line="146"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being able to read and understand basic financial statements and having a general understanding of the Company’s industry. The Nominating and Corporate Governance Committee also considers other factors it deems appropriate, including, but not limited to:</w:t>
      </w:r>
    </w:p>
    <w:p>
      <w:pPr>
        <w:spacing w:after="0" w:line="165" w:lineRule="exact"/>
        <w:rPr>
          <w:sz w:val="20"/>
          <w:szCs w:val="20"/>
          <w:color w:val="auto"/>
        </w:rPr>
      </w:pPr>
    </w:p>
    <w:p>
      <w:pPr>
        <w:ind w:left="1140" w:hanging="383"/>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candidate’s relevant expertise and experience upon which to offer advice and guidance to management;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candidate having sufficient time to devote to the affairs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 having a proven track record in his or her field;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ability to exercise sound business judgment;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candidate’s commitment to vigorously represent the long-term interests of our stockholders;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or not a conflict of interest exists between the candidate and our business;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candidate would be considered independent under applicable Nasdaq and SEC standards;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composition of the Board;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operating requirements of the Company.</w:t>
      </w:r>
    </w:p>
    <w:p>
      <w:pPr>
        <w:spacing w:after="0" w:line="225"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auto"/>
        </w:rPr>
        <w:t>In conducting this assessment, the Nominating and Corporate Governance Committee also considers diversity, age, skills, and such other factors as it deems appropriate given the then-current needs of the Board and the Company, to maintain a balance of knowledge, experience and capability.</w:t>
      </w:r>
    </w:p>
    <w:p>
      <w:pPr>
        <w:spacing w:after="0" w:line="124"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84"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believe that each of our directors brings a strong background and set of skills to our Board, giving the Board, as a whole, an appropriate balance of diversity, knowledge, experience, attributes, skills and expertise. In addition, seven of our nine directors are independent under Nasdaq standards (Mr. Mills, our President and CEO, and Mr. Fox being the exceptions) and our Nominating and Corporate Governance Committee believes that all nine directors are independent of the influence of any particular stockholder or group of stockholders whose interests may diverge from the interests of our stockholders as a whole. We believe that our directors have a broad range of personal characteristics including leadership, management, pharmaceutical, gene therapy business, marketing and financial experience and abilities to act with ethics and integrity, with sound judgment and collegially, to consider strategic proposals, to assist with the development of our strategic plan and oversee its implementation, to oversee our risk management efforts and executive compensation and to provide leadership, to commit the requisite time for preparation and attendance at Board and committee meetings and to provide required expertise on Board committees.</w:t>
      </w:r>
    </w:p>
    <w:p>
      <w:pPr>
        <w:spacing w:after="0" w:line="18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In evaluating director candidates, our Nominating and Corporate Governance Committee has reviewed the experience, qualifications, attributes and skills of our directors and nominees, including those identified in the biographical information set forth above in the section entitled “Election of Directors.” The Nominating and Corporate Governance Committee believes that the members of the Board offer insightful and creative views and solutions with respect to issues facing the Company. In addition, the Nominating and Corporate Governance Committee also believes that the members of the Board function well together as a group. The Nominating and Corporate Governance Committee believes that the above-mentioned attributes and qualifications, along with the leadership skills and other experiences of the members of the Board described in further detail above under the section entitled “Election of Directors,” provide the Company with the perspectives and judgment necessary to guide the Company’s strategies and monitor their execution.</w:t>
      </w:r>
    </w:p>
    <w:p>
      <w:pPr>
        <w:spacing w:after="0" w:line="166"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When there is a vacancy on the Board,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Diversity</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our stockholders. The attributes required of Board members, as a whole, may include (i) various and relevant career experience, (ii) relevant skills, such as an understanding of our business and industry, (iii)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520"/>
        <w:spacing w:after="0" w:line="277" w:lineRule="auto"/>
        <w:rPr>
          <w:sz w:val="20"/>
          <w:szCs w:val="20"/>
          <w:color w:val="auto"/>
        </w:rPr>
      </w:pPr>
      <w:r>
        <w:rPr>
          <w:rFonts w:ascii="Arial" w:cs="Arial" w:eastAsia="Arial" w:hAnsi="Arial"/>
          <w:sz w:val="18"/>
          <w:szCs w:val="18"/>
          <w:color w:val="auto"/>
        </w:rPr>
        <w:t>financial expertise, including the ability to read and understand basic financial statements, (iv) diversity (including, but not limited to, race, ethnicity, national origin, gender, and LGBTQ+ status) and (v) local and community ties.</w:t>
      </w:r>
    </w:p>
    <w:p>
      <w:pPr>
        <w:spacing w:after="0" w:line="170"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Board believes that gender diversity and racial and ethnic diversity are important in providing diverse viewpoints. Our commitment to that belief is reflected in the composition of our Board, with three of the past four new members elected by the Board, being women. The Company considers diversity more broadly than is defined in Nasdaq standards. The Company and the Board are committed to continue seeking director candidates who would further increase the Board’s diversity, including in our current active search for a new member where diversity is a key search criteria. That commitment is reflected in the Director Nomination Policy included in our Nominating and Corporate Governance Committee's charter. The Company continues to seek highly qualified candidates including those who belong to underrepresented populations. For further details, please refer to the following matrices: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36130" cy="313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April 6, 2023)</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460"/>
        </w:trPr>
        <w:tc>
          <w:tcPr>
            <w:tcW w:w="362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Total Number of Directors</w:t>
            </w:r>
          </w:p>
        </w:tc>
        <w:tc>
          <w:tcPr>
            <w:tcW w:w="44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jc w:val="right"/>
              <w:ind w:right="1330"/>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right w:val="single" w:sz="8" w:color="auto"/>
            </w:tcBorders>
          </w:tcPr>
          <w:p>
            <w:pPr>
              <w:spacing w:after="0"/>
              <w:rPr>
                <w:sz w:val="24"/>
                <w:szCs w:val="24"/>
                <w:color w:val="auto"/>
              </w:rPr>
            </w:pPr>
          </w:p>
        </w:tc>
      </w:tr>
      <w:tr>
        <w:trPr>
          <w:trHeight w:val="453"/>
        </w:trPr>
        <w:tc>
          <w:tcPr>
            <w:tcW w:w="362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Male</w:t>
            </w: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Non-Binary</w:t>
            </w: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Did Not Disclose Gender</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Part I: Gender Identity</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52"/>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Directors</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3</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5</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1</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Part II: Demographic Background</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African American or Black</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Alaskan Native or Native American</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Asian</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Hispanic or Latinx</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2"/>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Native Hawaiian or Pacific Islander</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White</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3</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5</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Two or More Races or Ethnicities</w:t>
            </w:r>
          </w:p>
        </w:tc>
        <w:tc>
          <w:tcPr>
            <w:tcW w:w="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79"/>
              </w:rPr>
              <w:t>0</w:t>
            </w: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LGBTQ+</w:t>
            </w: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53"/>
        </w:trPr>
        <w:tc>
          <w:tcPr>
            <w:tcW w:w="36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Did Not Disclose Demographic Background</w:t>
            </w: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13"/>
        </w:trPr>
        <w:tc>
          <w:tcPr>
            <w:tcW w:w="3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1680" w:type="dxa"/>
            <w:vAlign w:val="bottom"/>
            <w:tcBorders>
              <w:bottom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r>
      <w:tr>
        <w:trPr>
          <w:trHeight w:val="493"/>
        </w:trPr>
        <w:tc>
          <w:tcPr>
            <w:tcW w:w="3620" w:type="dxa"/>
            <w:vAlign w:val="bottom"/>
            <w:tcBorders>
              <w:left w:val="single" w:sz="8" w:color="auto"/>
              <w:bottom w:val="single" w:sz="8" w:color="auto"/>
            </w:tcBorders>
          </w:tcPr>
          <w:p>
            <w:pPr>
              <w:spacing w:after="0"/>
              <w:rPr>
                <w:sz w:val="24"/>
                <w:szCs w:val="24"/>
                <w:color w:val="auto"/>
              </w:rPr>
            </w:pPr>
          </w:p>
        </w:tc>
        <w:tc>
          <w:tcPr>
            <w:tcW w:w="380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w w:val="95"/>
              </w:rPr>
              <w:t>Board Diversity Matrix (as of April 7, 2022)</w:t>
            </w: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90"/>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Number of Directors</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31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Did Not Disclose Gender</w:t>
            </w:r>
          </w:p>
        </w:tc>
      </w:tr>
      <w:tr>
        <w:trPr>
          <w:trHeight w:val="439"/>
        </w:trPr>
        <w:tc>
          <w:tcPr>
            <w:tcW w:w="362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Male</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Non-Binary</w:t>
            </w:r>
          </w:p>
        </w:tc>
        <w:tc>
          <w:tcPr>
            <w:tcW w:w="4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93"/>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Part I: Gender Identity</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93"/>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480" w:type="dxa"/>
            <w:vAlign w:val="bottom"/>
            <w:tcBorders>
              <w:bottom w:val="single" w:sz="8" w:color="auto"/>
              <w:right w:val="single" w:sz="8" w:color="auto"/>
            </w:tcBorders>
            <w:gridSpan w:val="2"/>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493"/>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Part II: Demographic Background</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493"/>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African American or Black</w:t>
            </w:r>
          </w:p>
        </w:tc>
        <w:tc>
          <w:tcPr>
            <w:tcW w:w="480" w:type="dxa"/>
            <w:vAlign w:val="bottom"/>
            <w:tcBorders>
              <w:bottom w:val="single" w:sz="8" w:color="auto"/>
              <w:right w:val="single" w:sz="8" w:color="auto"/>
            </w:tcBorders>
            <w:gridSpan w:val="2"/>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493"/>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Alaskan Native or Native American</w:t>
            </w:r>
          </w:p>
        </w:tc>
        <w:tc>
          <w:tcPr>
            <w:tcW w:w="480" w:type="dxa"/>
            <w:vAlign w:val="bottom"/>
            <w:tcBorders>
              <w:bottom w:val="single" w:sz="8" w:color="auto"/>
              <w:right w:val="single" w:sz="8" w:color="auto"/>
            </w:tcBorders>
            <w:gridSpan w:val="2"/>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6" w:name="page17"/>
    <w:bookmarkEnd w:id="16"/>
    <w:tbl>
      <w:tblPr>
        <w:tblLayout w:type="fixed"/>
        <w:tblInd w:w="10" w:type="dxa"/>
        <w:tblCellMar>
          <w:top w:w="0" w:type="dxa"/>
          <w:left w:w="0" w:type="dxa"/>
          <w:bottom w:w="0" w:type="dxa"/>
          <w:right w:w="0" w:type="dxa"/>
        </w:tblCellMar>
      </w:tblPr>
      <w:tr>
        <w:trPr>
          <w:trHeight w:val="510"/>
        </w:trPr>
        <w:tc>
          <w:tcPr>
            <w:tcW w:w="41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168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68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168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2100" w:type="dxa"/>
            <w:vAlign w:val="bottom"/>
            <w:tcBorders>
              <w:top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0</w:t>
            </w:r>
          </w:p>
        </w:tc>
      </w:tr>
      <w:tr>
        <w:trPr>
          <w:trHeight w:val="490"/>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Hispanic or Latinx</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0</w:t>
            </w:r>
          </w:p>
        </w:tc>
      </w:tr>
      <w:tr>
        <w:trPr>
          <w:trHeight w:val="493"/>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Native Hawaiian or Pacific Islander</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0</w:t>
            </w:r>
          </w:p>
        </w:tc>
      </w:tr>
      <w:tr>
        <w:trPr>
          <w:trHeight w:val="493"/>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2</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6</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0</w:t>
            </w:r>
          </w:p>
        </w:tc>
      </w:tr>
      <w:tr>
        <w:trPr>
          <w:trHeight w:val="493"/>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Two or More Races or Ethnicities</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0</w:t>
            </w:r>
          </w:p>
        </w:tc>
      </w:tr>
      <w:tr>
        <w:trPr>
          <w:trHeight w:val="493"/>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LGBTQ+</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spacing w:after="0"/>
              <w:rPr>
                <w:sz w:val="24"/>
                <w:szCs w:val="24"/>
                <w:color w:val="auto"/>
              </w:rPr>
            </w:pPr>
          </w:p>
        </w:tc>
      </w:tr>
      <w:tr>
        <w:trPr>
          <w:trHeight w:val="493"/>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 Not Disclose Demographic Background</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1</w:t>
            </w:r>
          </w:p>
        </w:tc>
        <w:tc>
          <w:tcPr>
            <w:tcW w:w="2100" w:type="dxa"/>
            <w:vAlign w:val="bottom"/>
            <w:tcBorders>
              <w:bottom w:val="single" w:sz="8" w:color="auto"/>
              <w:right w:val="single" w:sz="8" w:color="auto"/>
            </w:tcBorders>
          </w:tcPr>
          <w:p>
            <w:pPr>
              <w:spacing w:after="0"/>
              <w:rPr>
                <w:sz w:val="24"/>
                <w:szCs w:val="24"/>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Renewal</w:t>
      </w:r>
    </w:p>
    <w:p>
      <w:pPr>
        <w:spacing w:after="0" w:line="229"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Board believes it is important to have experienced directors with a deep understanding of the Company’s business as well as newer directors who bring fresh perspectives to the Board. In its efforts to identify potential director candidates, the Board and the Nominating and Corporate Governance Committee consider the input from the directors’ self-evaluation process to identify the backgrounds and expertise that are desired and the future needs of the Board in light of anticipated director retirements or resignations. The Board’s ongoing assessment of its collective skills, experience and expertise resulted in the recruitment of four new independent directors within the past five years.</w:t>
      </w:r>
    </w:p>
    <w:p>
      <w:pPr>
        <w:spacing w:after="0" w:line="176" w:lineRule="exact"/>
        <w:rPr>
          <w:sz w:val="20"/>
          <w:szCs w:val="20"/>
          <w:color w:val="auto"/>
        </w:rPr>
      </w:pPr>
    </w:p>
    <w:p>
      <w:pPr>
        <w:ind w:right="160" w:firstLine="749"/>
        <w:spacing w:after="0" w:line="296" w:lineRule="auto"/>
        <w:rPr>
          <w:sz w:val="20"/>
          <w:szCs w:val="20"/>
          <w:color w:val="auto"/>
        </w:rPr>
      </w:pPr>
      <w:r>
        <w:rPr>
          <w:rFonts w:ascii="Arial" w:cs="Arial" w:eastAsia="Arial" w:hAnsi="Arial"/>
          <w:sz w:val="16"/>
          <w:szCs w:val="16"/>
          <w:color w:val="auto"/>
        </w:rPr>
        <w:t>Our recruiting process typically involves either engaging a search firm or having a member of the Board or the Nominating and Corporate Governance Committee contact a prospect to gauge the prospect’s interest and availability. A candidate will then meet with several members of the Board and then meet with members of the Company’s management as appropriate. At the same time, the Board or the Nominating and Corporate Governance Committee and the search firm will contact references for the prospect. A background check is completed before a final recommendation is made to the Board to appoint a candidate to the Board. No search firm was involved in the recruitment of Jennifer Zachary as a new independent director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Board met five times during 2022. Each director attended 75% or more of the aggregate of the meetings of the Board and of the committees on which he or she served, held during the period for which he or she was a director or committee member.</w:t>
      </w:r>
    </w:p>
    <w:p>
      <w:pPr>
        <w:spacing w:after="0" w:line="1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Directors are encouraged, but not required, to attend our annual meetings of stockholders. All of the then-continuing directors attended our 2022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None of the members of the Compensation Committee is or has ever been an officer or employee of the Company. No executive officer of the Company serves as a member of the board of directors or compensation committee of any other entity that has one or more executive officers serving as a member of our Board or our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Evaluations of the Board of Directors and its Committees</w:t>
      </w:r>
    </w:p>
    <w:p>
      <w:pPr>
        <w:spacing w:after="0" w:line="229"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In accordance with our corporate governance guidelines and the Nominating and Corporate Governance Committee charter, the Board, with the assistance of the Nominating and Corporate Governance Committee, evaluates the performance of the Board, its committees and each individual director on an annual basis. Each member of the Board conducts an annual self-evaluation for the purpose of determining whether the Board and its committees are functioning effectively. As part of this process, each director considers the effectiveness of the Board and each committee on which the director serves. The results of the evaluations are discussed at subsequent meetings of the Board and its committees.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and evaluate them using the same criteria as candidates identified by the Board or the Nominating and Corporate Governance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The Nominating and Corporate Governance Committee may also take into consideration the number of shares of the Company’s common stock held by the recommending stockholder and the length of time that those shares have been held. To recommend a director candidate for consideration by the Nominating and Corporate Governance Committee, a stockholder must submit the recommendation in writing to the Company, including the following information:</w:t>
      </w:r>
    </w:p>
    <w:p>
      <w:pPr>
        <w:spacing w:after="0" w:line="187" w:lineRule="exact"/>
        <w:rPr>
          <w:sz w:val="20"/>
          <w:szCs w:val="20"/>
          <w:color w:val="auto"/>
        </w:rPr>
      </w:pPr>
    </w:p>
    <w:p>
      <w:pPr>
        <w:ind w:left="1140" w:right="120" w:hanging="383"/>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the Company’s common stock, including the number of shares owned and the length of time the shares have been owned; and</w:t>
      </w:r>
    </w:p>
    <w:p>
      <w:pPr>
        <w:spacing w:after="0" w:line="170" w:lineRule="exact"/>
        <w:rPr>
          <w:rFonts w:ascii="Arial" w:cs="Arial" w:eastAsia="Arial" w:hAnsi="Arial"/>
          <w:sz w:val="18"/>
          <w:szCs w:val="18"/>
          <w:color w:val="auto"/>
        </w:rPr>
      </w:pPr>
    </w:p>
    <w:p>
      <w:pPr>
        <w:ind w:left="1140" w:hanging="383"/>
        <w:spacing w:after="0" w:line="2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director candidate, a description of the candidate’s qualifications to be a director of the Company, and the candidate’s consent to be named as a director nominee if recommended by the Nominating and Corporate Governance Committee and nominated by the Board.</w:t>
      </w:r>
    </w:p>
    <w:p>
      <w:pPr>
        <w:spacing w:after="0" w:line="184"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Recommendations and the information described above should be sent to our Corporate Secretary at REGENXBIO Inc., 9804 Medical Center Drive, Rockville, Maryland 20850, Attention: Corporate Secretary.</w:t>
      </w:r>
    </w:p>
    <w:p>
      <w:pPr>
        <w:spacing w:after="0" w:line="170"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Once a person has been identified by the Nominating and Corporate Governance Committee as a potential director candidate, the Nominating and Corporate Governance Committee may: collect and review publicly available information regarding the person to assess whether the person should be considered further; request additional information from the candidate and the proposing stockholder; contact references or other persons to assess the candidate; and conduct one or more interviews with the candidate. The Nominating and Corporate Governance Committee may consider that candidate in light of information regarding any other candidates that the Nominating and Corporate Governance Committee may be evaluating at that time, as well as any relevant director search criteria. The evaluation process generally does not vary based on whether or not a candidate is recommended by a stockholder; however, as stated above, the Nominating and Corporate Governance Committee may take into consideration the number of shares held by the recommending stockholder and the length of time that those shares have been held.</w:t>
      </w:r>
    </w:p>
    <w:p>
      <w:pPr>
        <w:spacing w:after="0" w:line="178" w:lineRule="exact"/>
        <w:rPr>
          <w:sz w:val="20"/>
          <w:szCs w:val="20"/>
          <w:color w:val="auto"/>
        </w:rPr>
      </w:pPr>
    </w:p>
    <w:p>
      <w:pPr>
        <w:ind w:right="220" w:firstLine="749"/>
        <w:spacing w:after="0" w:line="311" w:lineRule="auto"/>
        <w:rPr>
          <w:sz w:val="20"/>
          <w:szCs w:val="20"/>
          <w:color w:val="auto"/>
        </w:rPr>
      </w:pPr>
      <w:r>
        <w:rPr>
          <w:rFonts w:ascii="Arial" w:cs="Arial" w:eastAsia="Arial" w:hAnsi="Arial"/>
          <w:sz w:val="16"/>
          <w:szCs w:val="16"/>
          <w:color w:val="auto"/>
        </w:rPr>
        <w:t>In addition to recommending director candidates to the Nominating and Corporate Governance Committee, stockholders may also nominate candidates for election to the Board at an annual meeting of stockholders. For more information, see “Que</w:t>
      </w:r>
      <w:r>
        <w:rPr>
          <w:rFonts w:ascii="Arial" w:cs="Arial" w:eastAsia="Arial" w:hAnsi="Arial"/>
          <w:sz w:val="16"/>
          <w:szCs w:val="16"/>
          <w:b w:val="1"/>
          <w:bCs w:val="1"/>
          <w:color w:val="auto"/>
        </w:rPr>
        <w:t>s</w:t>
      </w:r>
      <w:r>
        <w:rPr>
          <w:rFonts w:ascii="Arial" w:cs="Arial" w:eastAsia="Arial" w:hAnsi="Arial"/>
          <w:sz w:val="16"/>
          <w:szCs w:val="16"/>
          <w:color w:val="auto"/>
        </w:rPr>
        <w:t>tions and Answers About the Proxy Materials and Voting—May I propose actions for consideration at next year’s annual meeting of stockholders or nominate individuals to serve as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Chairman of the Board and Chief Executive Officer Roles</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Board separates the positions of Chairman of the Board and CEO. Separating these positions allows our CEO to focus on our day-to-day business, while allowing the Chairman of the Board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of the Board, particularly as the Board’s oversight responsibilities continue to grow. We believe that having separate positions and having an outside director serve as Chairman of the Board is the appropriate leadership structure for the Company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As the Chairman of the Board is not an independent director, the Board has appointed a Lead Independent Director to provide leadership for our independent directors. The Lead Independent Director has a clearly defined set of responsibilities and provides significant independent Board leadership. Dr. Karabelas has served as our Lead Independent Director since July 1, 2020. During Dr. Karabelas’s nearly eight years of service on our Board, he has consistently demonstrated strong leadership skills in addition to his strong knowledge of strategic and regulatory issues. The independent directors of the Board are confident in Dr. Karabelas’s ability to continue to serve as Lead Independent Director.</w:t>
      </w:r>
    </w:p>
    <w:p>
      <w:pPr>
        <w:spacing w:after="0" w:line="176"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position of Lead Independent Director has a clear mandate, significant authority and well-defined responsibilities under our corporate governance guidelines. These responsibilities include:</w:t>
      </w:r>
    </w:p>
    <w:p>
      <w:pPr>
        <w:spacing w:after="0" w:line="170"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presiding at executive sessions of the independent directors and at any other meeting when the Chairman of the Board is not present;</w:t>
      </w:r>
    </w:p>
    <w:p>
      <w:pPr>
        <w:spacing w:after="0" w:line="236" w:lineRule="exact"/>
        <w:rPr>
          <w:rFonts w:ascii="Arial" w:cs="Arial" w:eastAsia="Arial" w:hAnsi="Arial"/>
          <w:sz w:val="17"/>
          <w:szCs w:val="17"/>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an agenda for executive sessions of the independent directors;</w:t>
      </w:r>
    </w:p>
    <w:p>
      <w:pPr>
        <w:spacing w:after="0" w:line="225"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serving as a liaison between the Chairman of the Board, the CEO and the independent directors and advising the Chairman of the Board and the CEO, as appropriate, on the issues discussed at executive sessions of independent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calling special meetings of the independent directors;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performing other duties specified in the corporate governance guidelines or assigned from time to time by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Board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the Board receiving regular reports from Board committees and members of senior management to enable the Board to understand and evaluate the Company’s risk identification, risk management and risk mitigation strategies with respect to areas of potential material risk, including operations, finance, legal, regulatory, strategic, reputational, information and cyber security, human capital, environmental and social risk, as well as risks relating to the COVID-19 pandemic. The oversight of risk within the Company is an evolving process requiring the Company to continually look for opportunities to further embed systematic enterprise risk management into ongoing business processes within the Company.</w:t>
      </w:r>
    </w:p>
    <w:p>
      <w:pPr>
        <w:spacing w:after="0" w:line="166"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The Board is responsible for overseeing information security risk, and management reports to the Board regarding our assessment of information security risk, among other risks we face, on a periodic basis. Management monitors our information security systems to identify and mitigate any related risks, and we do not believe we have experienced any material cyber breaches. We maintain cybersecurity insurance coverage and we continue to invest in data protection and information technology, including providing an information security training and compliance program to our employees. Periodically, the Audit Committee reviews our policies with respect to risk assessment, risk management, loss prevention and regulatory compliance. The Audit Committee reviews information regarding liquidity and operations, and oversees our management of financial risks. Oversight by the Audit Committee includes direct communication with our external auditor,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and conducts a compensation risk assessment on an annual basis. The Nominating and Corporate Governance Committee manages risks associated with the independence of the Board, corporate governance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Corporate Secretary at REGENXBIO Inc., 9804 Medical Center Drive, Rockville, Maryland 20850, Attention: Corporate Secretary. The Corporate Secretary will review all such communications, but may, in his or her sole discretion, disregard any communication that he or she believes is not related to the duties and responsibilities of the Board. If deemed an appropriate communication, the Corporate Secretary will share the communication with the applicable director or directors.</w:t>
      </w:r>
    </w:p>
    <w:p>
      <w:pPr>
        <w:spacing w:after="0" w:line="166"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Following our 2022 annual meeting, as part of our off-season stockholder engagement efforts, our leadership team reached out to engage with 14 stockholders representing approximately 54% of our outstanding common stock to discuss the progress of our clinical trials, our business strategy, our financial performance and strategic initiatives and our corporate governance. We also provided these stockholders with an overview of the overall state of the AAV gene therapy industry.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Our Board determines the compensation of our non-employee directors in conjunction with recommendations made by the Compensation Committee. We use a combination of cash and share-based compensation to attract and retain qualified candidates to serve on the Board. Kenneth T. Mills, our President and CEO and a member of the Board, did not receive any compensation from us during our fiscal year ended December 31, 2022 for his service as a director and is not included in the 2022 Director Compensation Table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Earned or Paid in Cash</w:t>
      </w:r>
    </w:p>
    <w:p>
      <w:pPr>
        <w:spacing w:after="0" w:line="229"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In 2022, pursuant to our compensation program for non-employee directors, each member of the Board who was not an employee received the following annual cash compensation for Board services, as applicable, paid in quarterly installments in arrears: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640" w:type="dxa"/>
            <w:vAlign w:val="bottom"/>
          </w:tcPr>
          <w:p>
            <w:pPr>
              <w:jc w:val="center"/>
              <w:ind w:left="1279"/>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76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 of Service</w:t>
            </w:r>
          </w:p>
        </w:tc>
        <w:tc>
          <w:tcPr>
            <w:tcW w:w="3640" w:type="dxa"/>
            <w:vAlign w:val="bottom"/>
          </w:tcPr>
          <w:p>
            <w:pPr>
              <w:jc w:val="center"/>
              <w:ind w:left="127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auto"/>
            </w:tcBorders>
            <w:vMerge w:val="continue"/>
          </w:tcPr>
          <w:p>
            <w:pPr>
              <w:spacing w:after="0"/>
              <w:rPr>
                <w:sz w:val="16"/>
                <w:szCs w:val="16"/>
                <w:color w:val="auto"/>
              </w:rPr>
            </w:pPr>
          </w:p>
        </w:tc>
        <w:tc>
          <w:tcPr>
            <w:tcW w:w="3640" w:type="dxa"/>
            <w:vAlign w:val="bottom"/>
            <w:tcBorders>
              <w:bottom w:val="single" w:sz="8" w:color="auto"/>
            </w:tcBorders>
          </w:tcPr>
          <w:p>
            <w:pPr>
              <w:jc w:val="center"/>
              <w:ind w:left="127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7"/>
        </w:trPr>
        <w:tc>
          <w:tcPr>
            <w:tcW w:w="7600" w:type="dxa"/>
            <w:vAlign w:val="bottom"/>
            <w:shd w:val="clear" w:color="auto" w:fill="DEEAF6"/>
          </w:tcPr>
          <w:p>
            <w:pPr>
              <w:ind w:left="20"/>
              <w:spacing w:after="0"/>
              <w:rPr>
                <w:sz w:val="20"/>
                <w:szCs w:val="20"/>
                <w:color w:val="auto"/>
              </w:rPr>
            </w:pPr>
            <w:r>
              <w:rPr>
                <w:rFonts w:ascii="Arial" w:cs="Arial" w:eastAsia="Arial" w:hAnsi="Arial"/>
                <w:sz w:val="18"/>
                <w:szCs w:val="18"/>
                <w:color w:val="auto"/>
              </w:rPr>
              <w:t>Chairman of the Board</w:t>
            </w:r>
          </w:p>
        </w:tc>
        <w:tc>
          <w:tcPr>
            <w:tcW w:w="3640" w:type="dxa"/>
            <w:vAlign w:val="bottom"/>
            <w:shd w:val="clear" w:color="auto" w:fill="DEEAF6"/>
          </w:tcPr>
          <w:p>
            <w:pPr>
              <w:jc w:val="right"/>
              <w:ind w:right="839"/>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c>
          <w:tcPr>
            <w:tcW w:w="3640" w:type="dxa"/>
            <w:vAlign w:val="bottom"/>
          </w:tcPr>
          <w:p>
            <w:pPr>
              <w:jc w:val="right"/>
              <w:ind w:right="839"/>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1"/>
        </w:trPr>
        <w:tc>
          <w:tcPr>
            <w:tcW w:w="7600" w:type="dxa"/>
            <w:vAlign w:val="bottom"/>
            <w:shd w:val="clear" w:color="auto" w:fill="DEEAF6"/>
          </w:tcPr>
          <w:p>
            <w:pPr>
              <w:ind w:left="20"/>
              <w:spacing w:after="0"/>
              <w:rPr>
                <w:sz w:val="20"/>
                <w:szCs w:val="20"/>
                <w:color w:val="auto"/>
              </w:rPr>
            </w:pPr>
            <w:r>
              <w:rPr>
                <w:rFonts w:ascii="Arial" w:cs="Arial" w:eastAsia="Arial" w:hAnsi="Arial"/>
                <w:sz w:val="18"/>
                <w:szCs w:val="18"/>
                <w:color w:val="auto"/>
              </w:rPr>
              <w:t>Member of the Board</w:t>
            </w:r>
          </w:p>
        </w:tc>
        <w:tc>
          <w:tcPr>
            <w:tcW w:w="3640" w:type="dxa"/>
            <w:vAlign w:val="bottom"/>
            <w:shd w:val="clear" w:color="auto" w:fill="DEEAF6"/>
          </w:tcPr>
          <w:p>
            <w:pPr>
              <w:jc w:val="right"/>
              <w:ind w:right="839"/>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4"/>
        </w:trPr>
        <w:tc>
          <w:tcPr>
            <w:tcW w:w="7600" w:type="dxa"/>
            <w:vAlign w:val="bottom"/>
            <w:shd w:val="clear" w:color="auto" w:fill="DEEAF6"/>
          </w:tcPr>
          <w:p>
            <w:pPr>
              <w:ind w:left="240"/>
              <w:spacing w:after="0"/>
              <w:rPr>
                <w:sz w:val="20"/>
                <w:szCs w:val="20"/>
                <w:color w:val="auto"/>
              </w:rPr>
            </w:pPr>
            <w:r>
              <w:rPr>
                <w:rFonts w:ascii="Arial" w:cs="Arial" w:eastAsia="Arial" w:hAnsi="Arial"/>
                <w:sz w:val="18"/>
                <w:szCs w:val="18"/>
                <w:color w:val="auto"/>
              </w:rPr>
              <w:t>(including the Chairman of the Board and the Lead Independent Director)</w:t>
            </w:r>
          </w:p>
        </w:tc>
        <w:tc>
          <w:tcPr>
            <w:tcW w:w="3640" w:type="dxa"/>
            <w:vAlign w:val="bottom"/>
            <w:shd w:val="clear" w:color="auto" w:fill="DEEAF6"/>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addition to the cash compensation described above, each member of the Board who served on the Audit Committee, Compensation Committee or Nominating and Corporate Governance Committee received additional cash compensation as follows, paid in quarterly installments in arrears: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jc w:val="center"/>
              <w:ind w:left="236"/>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7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Committee</w:t>
            </w:r>
          </w:p>
        </w:tc>
        <w:tc>
          <w:tcPr>
            <w:tcW w:w="23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Role</w:t>
            </w:r>
          </w:p>
        </w:tc>
        <w:tc>
          <w:tcPr>
            <w:tcW w:w="188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85"/>
        </w:trPr>
        <w:tc>
          <w:tcPr>
            <w:tcW w:w="706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4"/>
        </w:trPr>
        <w:tc>
          <w:tcPr>
            <w:tcW w:w="70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Audit Committee</w:t>
            </w:r>
          </w:p>
        </w:tc>
        <w:tc>
          <w:tcPr>
            <w:tcW w:w="2300" w:type="dxa"/>
            <w:vAlign w:val="bottom"/>
            <w:shd w:val="clear" w:color="auto" w:fill="DEEAF6"/>
          </w:tcPr>
          <w:p>
            <w:pPr>
              <w:ind w:left="200"/>
              <w:spacing w:after="0"/>
              <w:rPr>
                <w:sz w:val="20"/>
                <w:szCs w:val="20"/>
                <w:color w:val="auto"/>
              </w:rPr>
            </w:pPr>
            <w:r>
              <w:rPr>
                <w:rFonts w:ascii="Arial" w:cs="Arial" w:eastAsia="Arial" w:hAnsi="Arial"/>
                <w:sz w:val="18"/>
                <w:szCs w:val="18"/>
                <w:color w:val="auto"/>
              </w:rPr>
              <w:t>Committee Chair</w:t>
            </w:r>
          </w:p>
        </w:tc>
        <w:tc>
          <w:tcPr>
            <w:tcW w:w="1880" w:type="dxa"/>
            <w:vAlign w:val="bottom"/>
            <w:shd w:val="clear" w:color="auto" w:fill="DEEAF6"/>
          </w:tcPr>
          <w:p>
            <w:pPr>
              <w:jc w:val="center"/>
              <w:ind w:left="176"/>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56"/>
        </w:trPr>
        <w:tc>
          <w:tcPr>
            <w:tcW w:w="7060" w:type="dxa"/>
            <w:vAlign w:val="bottom"/>
            <w:shd w:val="clear" w:color="auto" w:fill="DEEAF6"/>
          </w:tcPr>
          <w:p>
            <w:pPr>
              <w:spacing w:after="0"/>
              <w:rPr>
                <w:sz w:val="22"/>
                <w:szCs w:val="22"/>
                <w:color w:val="auto"/>
              </w:rPr>
            </w:pPr>
          </w:p>
        </w:tc>
        <w:tc>
          <w:tcPr>
            <w:tcW w:w="2300" w:type="dxa"/>
            <w:vAlign w:val="bottom"/>
            <w:shd w:val="clear" w:color="auto" w:fill="DEEAF6"/>
          </w:tcPr>
          <w:p>
            <w:pPr>
              <w:ind w:left="200"/>
              <w:spacing w:after="0"/>
              <w:rPr>
                <w:sz w:val="20"/>
                <w:szCs w:val="20"/>
                <w:color w:val="auto"/>
              </w:rPr>
            </w:pPr>
            <w:r>
              <w:rPr>
                <w:rFonts w:ascii="Arial" w:cs="Arial" w:eastAsia="Arial" w:hAnsi="Arial"/>
                <w:sz w:val="18"/>
                <w:szCs w:val="18"/>
                <w:color w:val="auto"/>
              </w:rPr>
              <w:t>Committee Member</w:t>
            </w:r>
          </w:p>
        </w:tc>
        <w:tc>
          <w:tcPr>
            <w:tcW w:w="1880" w:type="dxa"/>
            <w:vAlign w:val="bottom"/>
            <w:shd w:val="clear" w:color="auto" w:fill="DEEAF6"/>
          </w:tcPr>
          <w:p>
            <w:pPr>
              <w:jc w:val="center"/>
              <w:ind w:left="176"/>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Compensation Committee</w:t>
            </w:r>
          </w:p>
        </w:tc>
        <w:tc>
          <w:tcPr>
            <w:tcW w:w="2300" w:type="dxa"/>
            <w:vAlign w:val="bottom"/>
          </w:tcPr>
          <w:p>
            <w:pPr>
              <w:ind w:left="200"/>
              <w:spacing w:after="0"/>
              <w:rPr>
                <w:sz w:val="20"/>
                <w:szCs w:val="20"/>
                <w:color w:val="auto"/>
              </w:rPr>
            </w:pPr>
            <w:r>
              <w:rPr>
                <w:rFonts w:ascii="Arial" w:cs="Arial" w:eastAsia="Arial" w:hAnsi="Arial"/>
                <w:sz w:val="18"/>
                <w:szCs w:val="18"/>
                <w:color w:val="auto"/>
              </w:rPr>
              <w:t>Committee Chair</w:t>
            </w:r>
          </w:p>
        </w:tc>
        <w:tc>
          <w:tcPr>
            <w:tcW w:w="1880" w:type="dxa"/>
            <w:vAlign w:val="bottom"/>
          </w:tcPr>
          <w:p>
            <w:pPr>
              <w:jc w:val="center"/>
              <w:ind w:left="176"/>
              <w:spacing w:after="0"/>
              <w:rPr>
                <w:sz w:val="20"/>
                <w:szCs w:val="20"/>
                <w:color w:val="auto"/>
              </w:rPr>
            </w:pPr>
            <w:r>
              <w:rPr>
                <w:rFonts w:ascii="Arial" w:cs="Arial" w:eastAsia="Arial" w:hAnsi="Arial"/>
                <w:sz w:val="18"/>
                <w:szCs w:val="18"/>
                <w:color w:val="auto"/>
                <w:w w:val="90"/>
              </w:rPr>
              <w:t>15,000</w:t>
            </w:r>
          </w:p>
        </w:tc>
        <w:tc>
          <w:tcPr>
            <w:tcW w:w="0" w:type="dxa"/>
            <w:vAlign w:val="bottom"/>
          </w:tcPr>
          <w:p>
            <w:pPr>
              <w:spacing w:after="0"/>
              <w:rPr>
                <w:sz w:val="1"/>
                <w:szCs w:val="1"/>
                <w:color w:val="auto"/>
              </w:rPr>
            </w:pPr>
          </w:p>
        </w:tc>
      </w:tr>
      <w:tr>
        <w:trPr>
          <w:trHeight w:val="249"/>
        </w:trPr>
        <w:tc>
          <w:tcPr>
            <w:tcW w:w="7060" w:type="dxa"/>
            <w:vAlign w:val="bottom"/>
          </w:tcPr>
          <w:p>
            <w:pPr>
              <w:spacing w:after="0"/>
              <w:rPr>
                <w:sz w:val="21"/>
                <w:szCs w:val="21"/>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Committee Member</w:t>
            </w:r>
          </w:p>
        </w:tc>
        <w:tc>
          <w:tcPr>
            <w:tcW w:w="1880" w:type="dxa"/>
            <w:vAlign w:val="bottom"/>
          </w:tcPr>
          <w:p>
            <w:pPr>
              <w:jc w:val="center"/>
              <w:ind w:left="196"/>
              <w:spacing w:after="0"/>
              <w:rPr>
                <w:sz w:val="20"/>
                <w:szCs w:val="20"/>
                <w:color w:val="auto"/>
              </w:rPr>
            </w:pPr>
            <w:r>
              <w:rPr>
                <w:rFonts w:ascii="Arial" w:cs="Arial" w:eastAsia="Arial" w:hAnsi="Arial"/>
                <w:sz w:val="18"/>
                <w:szCs w:val="18"/>
                <w:color w:val="auto"/>
                <w:w w:val="88"/>
              </w:rPr>
              <w:t>7,500</w:t>
            </w:r>
          </w:p>
        </w:tc>
        <w:tc>
          <w:tcPr>
            <w:tcW w:w="0" w:type="dxa"/>
            <w:vAlign w:val="bottom"/>
          </w:tcPr>
          <w:p>
            <w:pPr>
              <w:spacing w:after="0"/>
              <w:rPr>
                <w:sz w:val="1"/>
                <w:szCs w:val="1"/>
                <w:color w:val="auto"/>
              </w:rPr>
            </w:pPr>
          </w:p>
        </w:tc>
      </w:tr>
      <w:tr>
        <w:trPr>
          <w:trHeight w:val="237"/>
        </w:trPr>
        <w:tc>
          <w:tcPr>
            <w:tcW w:w="70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Nominating and Corporate Governance Committee</w:t>
            </w:r>
          </w:p>
        </w:tc>
        <w:tc>
          <w:tcPr>
            <w:tcW w:w="2300" w:type="dxa"/>
            <w:vAlign w:val="bottom"/>
            <w:shd w:val="clear" w:color="auto" w:fill="DEEAF6"/>
          </w:tcPr>
          <w:p>
            <w:pPr>
              <w:ind w:left="200"/>
              <w:spacing w:after="0"/>
              <w:rPr>
                <w:sz w:val="20"/>
                <w:szCs w:val="20"/>
                <w:color w:val="auto"/>
              </w:rPr>
            </w:pPr>
            <w:r>
              <w:rPr>
                <w:rFonts w:ascii="Arial" w:cs="Arial" w:eastAsia="Arial" w:hAnsi="Arial"/>
                <w:sz w:val="18"/>
                <w:szCs w:val="18"/>
                <w:color w:val="auto"/>
              </w:rPr>
              <w:t>Committee Chair</w:t>
            </w:r>
          </w:p>
        </w:tc>
        <w:tc>
          <w:tcPr>
            <w:tcW w:w="1880" w:type="dxa"/>
            <w:vAlign w:val="bottom"/>
            <w:shd w:val="clear" w:color="auto" w:fill="DEEAF6"/>
          </w:tcPr>
          <w:p>
            <w:pPr>
              <w:jc w:val="center"/>
              <w:ind w:left="176"/>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56"/>
        </w:trPr>
        <w:tc>
          <w:tcPr>
            <w:tcW w:w="7060" w:type="dxa"/>
            <w:vAlign w:val="bottom"/>
            <w:shd w:val="clear" w:color="auto" w:fill="DEEAF6"/>
          </w:tcPr>
          <w:p>
            <w:pPr>
              <w:spacing w:after="0"/>
              <w:rPr>
                <w:sz w:val="22"/>
                <w:szCs w:val="22"/>
                <w:color w:val="auto"/>
              </w:rPr>
            </w:pPr>
          </w:p>
        </w:tc>
        <w:tc>
          <w:tcPr>
            <w:tcW w:w="2300" w:type="dxa"/>
            <w:vAlign w:val="bottom"/>
            <w:shd w:val="clear" w:color="auto" w:fill="DEEAF6"/>
          </w:tcPr>
          <w:p>
            <w:pPr>
              <w:ind w:left="200"/>
              <w:spacing w:after="0"/>
              <w:rPr>
                <w:sz w:val="20"/>
                <w:szCs w:val="20"/>
                <w:color w:val="auto"/>
              </w:rPr>
            </w:pPr>
            <w:r>
              <w:rPr>
                <w:rFonts w:ascii="Arial" w:cs="Arial" w:eastAsia="Arial" w:hAnsi="Arial"/>
                <w:sz w:val="18"/>
                <w:szCs w:val="18"/>
                <w:color w:val="auto"/>
              </w:rPr>
              <w:t>Committee Member</w:t>
            </w:r>
          </w:p>
        </w:tc>
        <w:tc>
          <w:tcPr>
            <w:tcW w:w="1880" w:type="dxa"/>
            <w:vAlign w:val="bottom"/>
            <w:shd w:val="clear" w:color="auto" w:fill="DEEAF6"/>
          </w:tcPr>
          <w:p>
            <w:pPr>
              <w:jc w:val="center"/>
              <w:ind w:left="196"/>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annual cash compensation to our directors is pro-rated for any partial year of service on our Board or as a committee chair or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The Company seeks to maintain competitive executive compensation in order to attract the most qualified candidates. In consultation with the Company’s independent compensation consultants and after a review of peer company director compensation the Company has updated its non-employee equity awards as follows:</w:t>
      </w:r>
    </w:p>
    <w:p>
      <w:pPr>
        <w:spacing w:after="0" w:line="184"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Non-employee directors receive an annual equity award grant with an aggregate value of $275,000. Of this amount, 75% is in the form of non-statutory stock options and 25% of the value is in the form of restricted stock units ("RSUs"). The exercise price per share price for each option is equal to the fair market value of our common stock on the grant date. The options vest in equal monthly installments over the 12 months following the grant date, with immediate full vesting in the event of a change in control. The RSUs vest in full on the first anniversary of the first day of the month in which the RSUs were granted, with immediate full vesting in the event of a change in control.</w:t>
      </w:r>
    </w:p>
    <w:p>
      <w:pPr>
        <w:spacing w:after="0" w:line="188"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Each newly appointed non-employee director receives an initial equity award grant with an aggregate value of $550,000, of which 75% of the value is in the form of non-statutory stock options and 25% of the value is in the form of RSUs, in each case rounded down to the nearest whole share. The exercise price per share for each option is equal to the fair market value of our common stock on the grant date. The options vest in equal monthly installments over the 36 months following the grant date, with immediate full vesting in the event of a change in control. The RSUs vest over a three-year period, with one-third of the aggregate number of shares subject to the RSU award vesting on each of the first, second and third anniversaries of the first day of the month in which the RSUs were granted, with immediate full vesting in the event of a change in control.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We reimburse our non-employee directors for their reasonable out-of-pocket expenses incurred in attending Board and committee meetings. We also provide customary director and officer insurance for all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Director Compensation Table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60" w:type="dxa"/>
            <w:vAlign w:val="bottom"/>
          </w:tcPr>
          <w:p>
            <w:pPr>
              <w:jc w:val="center"/>
              <w:ind w:left="1435"/>
              <w:spacing w:after="0"/>
              <w:rPr>
                <w:sz w:val="20"/>
                <w:szCs w:val="20"/>
                <w:color w:val="auto"/>
              </w:rPr>
            </w:pPr>
            <w:r>
              <w:rPr>
                <w:rFonts w:ascii="Arial" w:cs="Arial" w:eastAsia="Arial" w:hAnsi="Arial"/>
                <w:sz w:val="14"/>
                <w:szCs w:val="14"/>
                <w:b w:val="1"/>
                <w:bCs w:val="1"/>
                <w:color w:val="auto"/>
                <w:w w:val="92"/>
              </w:rPr>
              <w:t>Fees Earned or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4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3060" w:type="dxa"/>
            <w:vAlign w:val="bottom"/>
          </w:tcPr>
          <w:p>
            <w:pPr>
              <w:jc w:val="center"/>
              <w:ind w:left="1455"/>
              <w:spacing w:after="0" w:line="153" w:lineRule="exact"/>
              <w:rPr>
                <w:sz w:val="20"/>
                <w:szCs w:val="20"/>
                <w:color w:val="auto"/>
              </w:rPr>
            </w:pPr>
            <w:r>
              <w:rPr>
                <w:rFonts w:ascii="Arial" w:cs="Arial" w:eastAsia="Arial" w:hAnsi="Arial"/>
                <w:sz w:val="14"/>
                <w:szCs w:val="14"/>
                <w:b w:val="1"/>
                <w:bCs w:val="1"/>
                <w:color w:val="auto"/>
                <w:w w:val="95"/>
              </w:rPr>
              <w:t>Paid In Cash</w:t>
            </w:r>
          </w:p>
        </w:tc>
        <w:tc>
          <w:tcPr>
            <w:tcW w:w="132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7"/>
                <w:szCs w:val="17"/>
                <w:b w:val="1"/>
                <w:bCs w:val="1"/>
                <w:color w:val="auto"/>
                <w:w w:val="95"/>
                <w:vertAlign w:val="superscript"/>
              </w:rPr>
              <w:t>(1)</w:t>
            </w:r>
          </w:p>
        </w:tc>
        <w:tc>
          <w:tcPr>
            <w:tcW w:w="138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7"/>
                <w:szCs w:val="17"/>
                <w:b w:val="1"/>
                <w:bCs w:val="1"/>
                <w:color w:val="auto"/>
                <w:w w:val="95"/>
                <w:vertAlign w:val="superscript"/>
              </w:rPr>
              <w:t>(1)</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14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tcPr>
          <w:p>
            <w:pPr>
              <w:jc w:val="center"/>
              <w:ind w:left="1455"/>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140" w:type="dxa"/>
            <w:vAlign w:val="bottom"/>
            <w:shd w:val="clear" w:color="auto" w:fill="DEEAF6"/>
          </w:tcPr>
          <w:p>
            <w:pPr>
              <w:ind w:left="120"/>
              <w:spacing w:after="0" w:line="236" w:lineRule="exact"/>
              <w:rPr>
                <w:sz w:val="20"/>
                <w:szCs w:val="20"/>
                <w:color w:val="auto"/>
              </w:rPr>
            </w:pPr>
            <w:r>
              <w:rPr>
                <w:rFonts w:ascii="Arial" w:cs="Arial" w:eastAsia="Arial" w:hAnsi="Arial"/>
                <w:sz w:val="18"/>
                <w:szCs w:val="18"/>
                <w:color w:val="auto"/>
              </w:rPr>
              <w:t>Daniel J. Abdun-Nabi</w:t>
            </w:r>
            <w:r>
              <w:rPr>
                <w:rFonts w:ascii="Arial" w:cs="Arial" w:eastAsia="Arial" w:hAnsi="Arial"/>
                <w:sz w:val="24"/>
                <w:szCs w:val="24"/>
                <w:color w:val="auto"/>
                <w:vertAlign w:val="superscript"/>
              </w:rPr>
              <w:t>(2)</w:t>
            </w:r>
          </w:p>
        </w:tc>
        <w:tc>
          <w:tcPr>
            <w:tcW w:w="3060" w:type="dxa"/>
            <w:vAlign w:val="bottom"/>
            <w:shd w:val="clear" w:color="auto" w:fill="DEEAF6"/>
          </w:tcPr>
          <w:p>
            <w:pPr>
              <w:jc w:val="center"/>
              <w:ind w:left="1415"/>
              <w:spacing w:after="0"/>
              <w:rPr>
                <w:sz w:val="20"/>
                <w:szCs w:val="20"/>
                <w:color w:val="auto"/>
              </w:rPr>
            </w:pPr>
            <w:r>
              <w:rPr>
                <w:rFonts w:ascii="Arial" w:cs="Arial" w:eastAsia="Arial" w:hAnsi="Arial"/>
                <w:sz w:val="18"/>
                <w:szCs w:val="18"/>
                <w:color w:val="auto"/>
                <w:w w:val="87"/>
              </w:rPr>
              <w:t>26,827</w:t>
            </w:r>
          </w:p>
        </w:tc>
        <w:tc>
          <w:tcPr>
            <w:tcW w:w="1320" w:type="dxa"/>
            <w:vAlign w:val="bottom"/>
            <w:shd w:val="clear" w:color="auto" w:fill="DEEAF6"/>
          </w:tcPr>
          <w:p>
            <w:pPr>
              <w:jc w:val="center"/>
              <w:ind w:right="15"/>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26,827</w:t>
            </w:r>
          </w:p>
        </w:tc>
        <w:tc>
          <w:tcPr>
            <w:tcW w:w="0" w:type="dxa"/>
            <w:vAlign w:val="bottom"/>
          </w:tcPr>
          <w:p>
            <w:pPr>
              <w:spacing w:after="0"/>
              <w:rPr>
                <w:sz w:val="1"/>
                <w:szCs w:val="1"/>
                <w:color w:val="auto"/>
              </w:rPr>
            </w:pPr>
          </w:p>
        </w:tc>
      </w:tr>
      <w:tr>
        <w:trPr>
          <w:trHeight w:val="237"/>
        </w:trPr>
        <w:tc>
          <w:tcPr>
            <w:tcW w:w="4140" w:type="dxa"/>
            <w:vAlign w:val="bottom"/>
          </w:tcPr>
          <w:p>
            <w:pPr>
              <w:ind w:left="120"/>
              <w:spacing w:after="0"/>
              <w:rPr>
                <w:sz w:val="20"/>
                <w:szCs w:val="20"/>
                <w:color w:val="auto"/>
              </w:rPr>
            </w:pPr>
            <w:r>
              <w:rPr>
                <w:rFonts w:ascii="Arial" w:cs="Arial" w:eastAsia="Arial" w:hAnsi="Arial"/>
                <w:sz w:val="18"/>
                <w:szCs w:val="18"/>
                <w:color w:val="auto"/>
              </w:rPr>
              <w:t>Jean Bennett, M.D., Ph.D.</w:t>
            </w:r>
          </w:p>
        </w:tc>
        <w:tc>
          <w:tcPr>
            <w:tcW w:w="3060" w:type="dxa"/>
            <w:vAlign w:val="bottom"/>
          </w:tcPr>
          <w:p>
            <w:pPr>
              <w:jc w:val="center"/>
              <w:ind w:left="1415"/>
              <w:spacing w:after="0"/>
              <w:rPr>
                <w:sz w:val="20"/>
                <w:szCs w:val="20"/>
                <w:color w:val="auto"/>
              </w:rPr>
            </w:pPr>
            <w:r>
              <w:rPr>
                <w:rFonts w:ascii="Arial" w:cs="Arial" w:eastAsia="Arial" w:hAnsi="Arial"/>
                <w:sz w:val="18"/>
                <w:szCs w:val="18"/>
                <w:color w:val="auto"/>
                <w:w w:val="87"/>
              </w:rPr>
              <w:t>47,885</w:t>
            </w:r>
          </w:p>
        </w:tc>
        <w:tc>
          <w:tcPr>
            <w:tcW w:w="1320" w:type="dxa"/>
            <w:vAlign w:val="bottom"/>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322,882</w:t>
            </w:r>
          </w:p>
        </w:tc>
        <w:tc>
          <w:tcPr>
            <w:tcW w:w="0" w:type="dxa"/>
            <w:vAlign w:val="bottom"/>
          </w:tcPr>
          <w:p>
            <w:pPr>
              <w:spacing w:after="0"/>
              <w:rPr>
                <w:sz w:val="1"/>
                <w:szCs w:val="1"/>
                <w:color w:val="auto"/>
              </w:rPr>
            </w:pPr>
          </w:p>
        </w:tc>
      </w:tr>
      <w:tr>
        <w:trPr>
          <w:trHeight w:val="249"/>
        </w:trPr>
        <w:tc>
          <w:tcPr>
            <w:tcW w:w="41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Allan M. Fox</w:t>
            </w:r>
          </w:p>
        </w:tc>
        <w:tc>
          <w:tcPr>
            <w:tcW w:w="3060" w:type="dxa"/>
            <w:vAlign w:val="bottom"/>
            <w:shd w:val="clear" w:color="auto" w:fill="DEEAF6"/>
          </w:tcPr>
          <w:p>
            <w:pPr>
              <w:jc w:val="center"/>
              <w:ind w:left="1415"/>
              <w:spacing w:after="0"/>
              <w:rPr>
                <w:sz w:val="20"/>
                <w:szCs w:val="20"/>
                <w:color w:val="auto"/>
              </w:rPr>
            </w:pPr>
            <w:r>
              <w:rPr>
                <w:rFonts w:ascii="Arial" w:cs="Arial" w:eastAsia="Arial" w:hAnsi="Arial"/>
                <w:sz w:val="18"/>
                <w:szCs w:val="18"/>
                <w:color w:val="auto"/>
                <w:w w:val="87"/>
              </w:rPr>
              <w:t>75,769</w:t>
            </w:r>
          </w:p>
        </w:tc>
        <w:tc>
          <w:tcPr>
            <w:tcW w:w="1320" w:type="dxa"/>
            <w:vAlign w:val="bottom"/>
            <w:shd w:val="clear" w:color="auto" w:fill="DEEAF6"/>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350,766</w:t>
            </w:r>
          </w:p>
        </w:tc>
        <w:tc>
          <w:tcPr>
            <w:tcW w:w="0" w:type="dxa"/>
            <w:vAlign w:val="bottom"/>
          </w:tcPr>
          <w:p>
            <w:pPr>
              <w:spacing w:after="0"/>
              <w:rPr>
                <w:sz w:val="1"/>
                <w:szCs w:val="1"/>
                <w:color w:val="auto"/>
              </w:rPr>
            </w:pPr>
          </w:p>
        </w:tc>
      </w:tr>
      <w:tr>
        <w:trPr>
          <w:trHeight w:val="237"/>
        </w:trPr>
        <w:tc>
          <w:tcPr>
            <w:tcW w:w="4140" w:type="dxa"/>
            <w:vAlign w:val="bottom"/>
          </w:tcPr>
          <w:p>
            <w:pPr>
              <w:ind w:left="120"/>
              <w:spacing w:after="0"/>
              <w:rPr>
                <w:sz w:val="20"/>
                <w:szCs w:val="20"/>
                <w:color w:val="auto"/>
              </w:rPr>
            </w:pPr>
            <w:r>
              <w:rPr>
                <w:rFonts w:ascii="Arial" w:cs="Arial" w:eastAsia="Arial" w:hAnsi="Arial"/>
                <w:sz w:val="18"/>
                <w:szCs w:val="18"/>
                <w:color w:val="auto"/>
              </w:rPr>
              <w:t>Alexandra Glucksmann, Ph.D.</w:t>
            </w:r>
          </w:p>
        </w:tc>
        <w:tc>
          <w:tcPr>
            <w:tcW w:w="3060" w:type="dxa"/>
            <w:vAlign w:val="bottom"/>
          </w:tcPr>
          <w:p>
            <w:pPr>
              <w:jc w:val="center"/>
              <w:ind w:left="1415"/>
              <w:spacing w:after="0"/>
              <w:rPr>
                <w:sz w:val="20"/>
                <w:szCs w:val="20"/>
                <w:color w:val="auto"/>
              </w:rPr>
            </w:pPr>
            <w:r>
              <w:rPr>
                <w:rFonts w:ascii="Arial" w:cs="Arial" w:eastAsia="Arial" w:hAnsi="Arial"/>
                <w:sz w:val="18"/>
                <w:szCs w:val="18"/>
                <w:color w:val="auto"/>
                <w:w w:val="87"/>
              </w:rPr>
              <w:t>49,750</w:t>
            </w:r>
          </w:p>
        </w:tc>
        <w:tc>
          <w:tcPr>
            <w:tcW w:w="1320" w:type="dxa"/>
            <w:vAlign w:val="bottom"/>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324,747</w:t>
            </w:r>
          </w:p>
        </w:tc>
        <w:tc>
          <w:tcPr>
            <w:tcW w:w="0" w:type="dxa"/>
            <w:vAlign w:val="bottom"/>
          </w:tcPr>
          <w:p>
            <w:pPr>
              <w:spacing w:after="0"/>
              <w:rPr>
                <w:sz w:val="1"/>
                <w:szCs w:val="1"/>
                <w:color w:val="auto"/>
              </w:rPr>
            </w:pPr>
          </w:p>
        </w:tc>
      </w:tr>
      <w:tr>
        <w:trPr>
          <w:trHeight w:val="249"/>
        </w:trPr>
        <w:tc>
          <w:tcPr>
            <w:tcW w:w="41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A.N. “Jerry” Karabelas, Ph.D.</w:t>
            </w:r>
          </w:p>
        </w:tc>
        <w:tc>
          <w:tcPr>
            <w:tcW w:w="3060" w:type="dxa"/>
            <w:vAlign w:val="bottom"/>
            <w:shd w:val="clear" w:color="auto" w:fill="DEEAF6"/>
          </w:tcPr>
          <w:p>
            <w:pPr>
              <w:jc w:val="center"/>
              <w:ind w:left="1415"/>
              <w:spacing w:after="0"/>
              <w:rPr>
                <w:sz w:val="20"/>
                <w:szCs w:val="20"/>
                <w:color w:val="auto"/>
              </w:rPr>
            </w:pPr>
            <w:r>
              <w:rPr>
                <w:rFonts w:ascii="Arial" w:cs="Arial" w:eastAsia="Arial" w:hAnsi="Arial"/>
                <w:sz w:val="18"/>
                <w:szCs w:val="18"/>
                <w:color w:val="auto"/>
                <w:w w:val="87"/>
              </w:rPr>
              <w:t>74,750</w:t>
            </w:r>
          </w:p>
        </w:tc>
        <w:tc>
          <w:tcPr>
            <w:tcW w:w="1320" w:type="dxa"/>
            <w:vAlign w:val="bottom"/>
            <w:shd w:val="clear" w:color="auto" w:fill="DEEAF6"/>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349,747</w:t>
            </w:r>
          </w:p>
        </w:tc>
        <w:tc>
          <w:tcPr>
            <w:tcW w:w="0" w:type="dxa"/>
            <w:vAlign w:val="bottom"/>
          </w:tcPr>
          <w:p>
            <w:pPr>
              <w:spacing w:after="0"/>
              <w:rPr>
                <w:sz w:val="1"/>
                <w:szCs w:val="1"/>
                <w:color w:val="auto"/>
              </w:rPr>
            </w:pPr>
          </w:p>
        </w:tc>
      </w:tr>
      <w:tr>
        <w:trPr>
          <w:trHeight w:val="243"/>
        </w:trPr>
        <w:tc>
          <w:tcPr>
            <w:tcW w:w="4140" w:type="dxa"/>
            <w:vAlign w:val="bottom"/>
          </w:tcPr>
          <w:p>
            <w:pPr>
              <w:ind w:left="120"/>
              <w:spacing w:after="0" w:line="243" w:lineRule="exact"/>
              <w:rPr>
                <w:sz w:val="20"/>
                <w:szCs w:val="20"/>
                <w:color w:val="auto"/>
              </w:rPr>
            </w:pPr>
            <w:r>
              <w:rPr>
                <w:rFonts w:ascii="Arial" w:cs="Arial" w:eastAsia="Arial" w:hAnsi="Arial"/>
                <w:sz w:val="18"/>
                <w:szCs w:val="18"/>
                <w:color w:val="auto"/>
              </w:rPr>
              <w:t>George Migausky</w:t>
            </w:r>
            <w:r>
              <w:rPr>
                <w:rFonts w:ascii="Arial" w:cs="Arial" w:eastAsia="Arial" w:hAnsi="Arial"/>
                <w:sz w:val="24"/>
                <w:szCs w:val="24"/>
                <w:color w:val="auto"/>
                <w:vertAlign w:val="superscript"/>
              </w:rPr>
              <w:t>(3)</w:t>
            </w:r>
          </w:p>
        </w:tc>
        <w:tc>
          <w:tcPr>
            <w:tcW w:w="3060" w:type="dxa"/>
            <w:vAlign w:val="bottom"/>
          </w:tcPr>
          <w:p>
            <w:pPr>
              <w:jc w:val="center"/>
              <w:ind w:left="1415"/>
              <w:spacing w:after="0"/>
              <w:rPr>
                <w:sz w:val="20"/>
                <w:szCs w:val="20"/>
                <w:color w:val="auto"/>
              </w:rPr>
            </w:pPr>
            <w:r>
              <w:rPr>
                <w:rFonts w:ascii="Arial" w:cs="Arial" w:eastAsia="Arial" w:hAnsi="Arial"/>
                <w:sz w:val="18"/>
                <w:szCs w:val="18"/>
                <w:color w:val="auto"/>
                <w:w w:val="87"/>
              </w:rPr>
              <w:t>58,231</w:t>
            </w:r>
          </w:p>
        </w:tc>
        <w:tc>
          <w:tcPr>
            <w:tcW w:w="1320" w:type="dxa"/>
            <w:vAlign w:val="bottom"/>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333,228</w:t>
            </w:r>
          </w:p>
        </w:tc>
        <w:tc>
          <w:tcPr>
            <w:tcW w:w="0" w:type="dxa"/>
            <w:vAlign w:val="bottom"/>
          </w:tcPr>
          <w:p>
            <w:pPr>
              <w:spacing w:after="0"/>
              <w:rPr>
                <w:sz w:val="1"/>
                <w:szCs w:val="1"/>
                <w:color w:val="auto"/>
              </w:rPr>
            </w:pPr>
          </w:p>
        </w:tc>
      </w:tr>
      <w:tr>
        <w:trPr>
          <w:trHeight w:val="243"/>
        </w:trPr>
        <w:tc>
          <w:tcPr>
            <w:tcW w:w="41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David C. Stump, M.D.</w:t>
            </w:r>
          </w:p>
        </w:tc>
        <w:tc>
          <w:tcPr>
            <w:tcW w:w="3060" w:type="dxa"/>
            <w:vAlign w:val="bottom"/>
            <w:shd w:val="clear" w:color="auto" w:fill="DEEAF6"/>
          </w:tcPr>
          <w:p>
            <w:pPr>
              <w:jc w:val="center"/>
              <w:ind w:left="1415"/>
              <w:spacing w:after="0"/>
              <w:rPr>
                <w:sz w:val="20"/>
                <w:szCs w:val="20"/>
                <w:color w:val="auto"/>
              </w:rPr>
            </w:pPr>
            <w:r>
              <w:rPr>
                <w:rFonts w:ascii="Arial" w:cs="Arial" w:eastAsia="Arial" w:hAnsi="Arial"/>
                <w:sz w:val="18"/>
                <w:szCs w:val="18"/>
                <w:color w:val="auto"/>
                <w:w w:val="87"/>
              </w:rPr>
              <w:t>61,827</w:t>
            </w:r>
          </w:p>
        </w:tc>
        <w:tc>
          <w:tcPr>
            <w:tcW w:w="1320" w:type="dxa"/>
            <w:vAlign w:val="bottom"/>
            <w:shd w:val="clear" w:color="auto" w:fill="DEEAF6"/>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336,824</w:t>
            </w:r>
          </w:p>
        </w:tc>
        <w:tc>
          <w:tcPr>
            <w:tcW w:w="0" w:type="dxa"/>
            <w:vAlign w:val="bottom"/>
          </w:tcPr>
          <w:p>
            <w:pPr>
              <w:spacing w:after="0"/>
              <w:rPr>
                <w:sz w:val="1"/>
                <w:szCs w:val="1"/>
                <w:color w:val="auto"/>
              </w:rPr>
            </w:pPr>
          </w:p>
        </w:tc>
      </w:tr>
      <w:tr>
        <w:trPr>
          <w:trHeight w:val="237"/>
        </w:trPr>
        <w:tc>
          <w:tcPr>
            <w:tcW w:w="4140" w:type="dxa"/>
            <w:vAlign w:val="bottom"/>
          </w:tcPr>
          <w:p>
            <w:pPr>
              <w:ind w:left="120"/>
              <w:spacing w:after="0"/>
              <w:rPr>
                <w:sz w:val="20"/>
                <w:szCs w:val="20"/>
                <w:color w:val="auto"/>
              </w:rPr>
            </w:pPr>
            <w:r>
              <w:rPr>
                <w:rFonts w:ascii="Arial" w:cs="Arial" w:eastAsia="Arial" w:hAnsi="Arial"/>
                <w:sz w:val="18"/>
                <w:szCs w:val="18"/>
                <w:color w:val="auto"/>
              </w:rPr>
              <w:t>Daniel Tassé</w:t>
            </w:r>
          </w:p>
        </w:tc>
        <w:tc>
          <w:tcPr>
            <w:tcW w:w="3060" w:type="dxa"/>
            <w:vAlign w:val="bottom"/>
          </w:tcPr>
          <w:p>
            <w:pPr>
              <w:jc w:val="center"/>
              <w:ind w:left="1415"/>
              <w:spacing w:after="0"/>
              <w:rPr>
                <w:sz w:val="20"/>
                <w:szCs w:val="20"/>
                <w:color w:val="auto"/>
              </w:rPr>
            </w:pPr>
            <w:r>
              <w:rPr>
                <w:rFonts w:ascii="Arial" w:cs="Arial" w:eastAsia="Arial" w:hAnsi="Arial"/>
                <w:sz w:val="18"/>
                <w:szCs w:val="18"/>
                <w:color w:val="auto"/>
                <w:w w:val="87"/>
              </w:rPr>
              <w:t>57,885</w:t>
            </w:r>
          </w:p>
        </w:tc>
        <w:tc>
          <w:tcPr>
            <w:tcW w:w="1320" w:type="dxa"/>
            <w:vAlign w:val="bottom"/>
          </w:tcPr>
          <w:p>
            <w:pPr>
              <w:jc w:val="center"/>
              <w:ind w:right="15"/>
              <w:spacing w:after="0"/>
              <w:rPr>
                <w:sz w:val="20"/>
                <w:szCs w:val="20"/>
                <w:color w:val="auto"/>
              </w:rPr>
            </w:pPr>
            <w:r>
              <w:rPr>
                <w:rFonts w:ascii="Arial" w:cs="Arial" w:eastAsia="Arial" w:hAnsi="Arial"/>
                <w:sz w:val="18"/>
                <w:szCs w:val="18"/>
                <w:color w:val="auto"/>
                <w:w w:val="90"/>
              </w:rPr>
              <w:t>68,748</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206,249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332,882</w:t>
            </w:r>
          </w:p>
        </w:tc>
        <w:tc>
          <w:tcPr>
            <w:tcW w:w="0" w:type="dxa"/>
            <w:vAlign w:val="bottom"/>
          </w:tcPr>
          <w:p>
            <w:pPr>
              <w:spacing w:after="0"/>
              <w:rPr>
                <w:sz w:val="1"/>
                <w:szCs w:val="1"/>
                <w:color w:val="auto"/>
              </w:rPr>
            </w:pPr>
          </w:p>
        </w:tc>
      </w:tr>
      <w:tr>
        <w:trPr>
          <w:trHeight w:val="249"/>
        </w:trPr>
        <w:tc>
          <w:tcPr>
            <w:tcW w:w="4140" w:type="dxa"/>
            <w:vAlign w:val="bottom"/>
            <w:shd w:val="clear" w:color="auto" w:fill="DEEAF6"/>
          </w:tcPr>
          <w:p>
            <w:pPr>
              <w:ind w:left="120"/>
              <w:spacing w:after="0" w:line="249" w:lineRule="exact"/>
              <w:rPr>
                <w:sz w:val="20"/>
                <w:szCs w:val="20"/>
                <w:color w:val="auto"/>
              </w:rPr>
            </w:pPr>
            <w:r>
              <w:rPr>
                <w:rFonts w:ascii="Arial" w:cs="Arial" w:eastAsia="Arial" w:hAnsi="Arial"/>
                <w:sz w:val="18"/>
                <w:szCs w:val="18"/>
                <w:color w:val="auto"/>
              </w:rPr>
              <w:t>Jennifer Zachary</w:t>
            </w:r>
            <w:r>
              <w:rPr>
                <w:rFonts w:ascii="Arial" w:cs="Arial" w:eastAsia="Arial" w:hAnsi="Arial"/>
                <w:sz w:val="24"/>
                <w:szCs w:val="24"/>
                <w:color w:val="auto"/>
                <w:vertAlign w:val="superscript"/>
              </w:rPr>
              <w:t>(4)</w:t>
            </w:r>
          </w:p>
        </w:tc>
        <w:tc>
          <w:tcPr>
            <w:tcW w:w="3060" w:type="dxa"/>
            <w:vAlign w:val="bottom"/>
            <w:shd w:val="clear" w:color="auto" w:fill="DEEAF6"/>
          </w:tcPr>
          <w:p>
            <w:pPr>
              <w:jc w:val="center"/>
              <w:ind w:left="1415"/>
              <w:spacing w:after="0"/>
              <w:rPr>
                <w:sz w:val="20"/>
                <w:szCs w:val="20"/>
                <w:color w:val="auto"/>
              </w:rPr>
            </w:pPr>
            <w:r>
              <w:rPr>
                <w:rFonts w:ascii="Arial" w:cs="Arial" w:eastAsia="Arial" w:hAnsi="Arial"/>
                <w:sz w:val="18"/>
                <w:szCs w:val="18"/>
                <w:color w:val="auto"/>
                <w:w w:val="87"/>
              </w:rPr>
              <w:t>31,731</w:t>
            </w:r>
          </w:p>
        </w:tc>
        <w:tc>
          <w:tcPr>
            <w:tcW w:w="1320" w:type="dxa"/>
            <w:vAlign w:val="bottom"/>
            <w:shd w:val="clear" w:color="auto" w:fill="DEEAF6"/>
          </w:tcPr>
          <w:p>
            <w:pPr>
              <w:jc w:val="center"/>
              <w:ind w:right="15"/>
              <w:spacing w:after="0"/>
              <w:rPr>
                <w:sz w:val="20"/>
                <w:szCs w:val="20"/>
                <w:color w:val="auto"/>
              </w:rPr>
            </w:pPr>
            <w:r>
              <w:rPr>
                <w:rFonts w:ascii="Arial" w:cs="Arial" w:eastAsia="Arial" w:hAnsi="Arial"/>
                <w:sz w:val="18"/>
                <w:szCs w:val="18"/>
                <w:color w:val="auto"/>
                <w:w w:val="89"/>
              </w:rPr>
              <w:t>137,497</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412,494</w:t>
            </w:r>
          </w:p>
        </w:tc>
        <w:tc>
          <w:tcPr>
            <w:tcW w:w="13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581,722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ind w:left="760" w:right="60" w:hanging="752"/>
        <w:spacing w:after="0" w:line="25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RSUs or options, as applicable, granted during the 2022 fiscal year calculated in accordance with Financial Accounting Standards Board (“FASB”) Accounting Standards Codification (“ASC”) Topic 718. See Note 11, “Stock-based Compensation,” to the financial statements included in our Annual Report for a discussion of the assumptions we made in determining the grant date fair value of our equity awards.</w:t>
      </w:r>
    </w:p>
    <w:p>
      <w:pPr>
        <w:spacing w:after="0" w:line="2" w:lineRule="exact"/>
        <w:rPr>
          <w:rFonts w:ascii="Arial" w:cs="Arial" w:eastAsia="Arial" w:hAnsi="Arial"/>
          <w:sz w:val="18"/>
          <w:szCs w:val="18"/>
          <w:color w:val="auto"/>
        </w:rPr>
      </w:pPr>
    </w:p>
    <w:p>
      <w:pPr>
        <w:ind w:left="760" w:hanging="75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Abdun-Nabi resigned as a member of the Board and Chair of the Audit Committee effective June 3, 2022.</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Migausky was appointed Chair of the Audit Committee effective June 3, 2022.</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Zachary was elected to the Board and appointed as a member of the Audit Committee effective June 3, 2022.</w:t>
      </w:r>
    </w:p>
    <w:p>
      <w:pPr>
        <w:spacing w:after="0" w:line="21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As of December 31, 2022, our non-employee directors held the following unvested RSUs and outstanding options to purchase shares of our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4720" w:type="dxa"/>
            <w:vAlign w:val="bottom"/>
          </w:tcPr>
          <w:p>
            <w:pPr>
              <w:jc w:val="center"/>
              <w:ind w:left="2193"/>
              <w:spacing w:after="0"/>
              <w:rPr>
                <w:sz w:val="20"/>
                <w:szCs w:val="20"/>
                <w:color w:val="auto"/>
              </w:rPr>
            </w:pPr>
            <w:r>
              <w:rPr>
                <w:rFonts w:ascii="Arial" w:cs="Arial" w:eastAsia="Arial" w:hAnsi="Arial"/>
                <w:sz w:val="14"/>
                <w:szCs w:val="14"/>
                <w:b w:val="1"/>
                <w:bCs w:val="1"/>
                <w:color w:val="auto"/>
                <w:w w:val="92"/>
              </w:rPr>
              <w:t>Aggregate Number</w:t>
            </w:r>
          </w:p>
        </w:tc>
        <w:tc>
          <w:tcPr>
            <w:tcW w:w="2600" w:type="dxa"/>
            <w:vAlign w:val="bottom"/>
          </w:tcPr>
          <w:p>
            <w:pPr>
              <w:jc w:val="center"/>
              <w:ind w:left="54"/>
              <w:spacing w:after="0"/>
              <w:rPr>
                <w:sz w:val="20"/>
                <w:szCs w:val="20"/>
                <w:color w:val="auto"/>
              </w:rPr>
            </w:pPr>
            <w:r>
              <w:rPr>
                <w:rFonts w:ascii="Arial" w:cs="Arial" w:eastAsia="Arial" w:hAnsi="Arial"/>
                <w:sz w:val="14"/>
                <w:szCs w:val="14"/>
                <w:b w:val="1"/>
                <w:bCs w:val="1"/>
                <w:color w:val="auto"/>
                <w:w w:val="93"/>
              </w:rPr>
              <w:t>Aggregate Number</w:t>
            </w:r>
          </w:p>
        </w:tc>
        <w:tc>
          <w:tcPr>
            <w:tcW w:w="0" w:type="dxa"/>
            <w:vAlign w:val="bottom"/>
          </w:tcPr>
          <w:p>
            <w:pPr>
              <w:spacing w:after="0"/>
              <w:rPr>
                <w:sz w:val="1"/>
                <w:szCs w:val="1"/>
                <w:color w:val="auto"/>
              </w:rPr>
            </w:pPr>
          </w:p>
        </w:tc>
      </w:tr>
      <w:tr>
        <w:trPr>
          <w:trHeight w:val="185"/>
        </w:trPr>
        <w:tc>
          <w:tcPr>
            <w:tcW w:w="3920" w:type="dxa"/>
            <w:vAlign w:val="bottom"/>
            <w:tcBorders>
              <w:bottom w:val="single" w:sz="8" w:color="auto"/>
            </w:tcBorders>
            <w:vMerge w:val="continue"/>
          </w:tcPr>
          <w:p>
            <w:pPr>
              <w:spacing w:after="0"/>
              <w:rPr>
                <w:sz w:val="16"/>
                <w:szCs w:val="16"/>
                <w:color w:val="auto"/>
              </w:rPr>
            </w:pPr>
          </w:p>
        </w:tc>
        <w:tc>
          <w:tcPr>
            <w:tcW w:w="4720" w:type="dxa"/>
            <w:vAlign w:val="bottom"/>
            <w:tcBorders>
              <w:bottom w:val="single" w:sz="8" w:color="auto"/>
            </w:tcBorders>
          </w:tcPr>
          <w:p>
            <w:pPr>
              <w:jc w:val="center"/>
              <w:ind w:left="2193"/>
              <w:spacing w:after="0"/>
              <w:rPr>
                <w:sz w:val="20"/>
                <w:szCs w:val="20"/>
                <w:color w:val="auto"/>
              </w:rPr>
            </w:pPr>
            <w:r>
              <w:rPr>
                <w:rFonts w:ascii="Arial" w:cs="Arial" w:eastAsia="Arial" w:hAnsi="Arial"/>
                <w:sz w:val="14"/>
                <w:szCs w:val="14"/>
                <w:b w:val="1"/>
                <w:bCs w:val="1"/>
                <w:color w:val="auto"/>
                <w:w w:val="92"/>
              </w:rPr>
              <w:t>of Unvested RSUs</w:t>
            </w:r>
          </w:p>
        </w:tc>
        <w:tc>
          <w:tcPr>
            <w:tcW w:w="26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93"/>
              </w:rPr>
              <w:t>of Options Outstanding</w:t>
            </w:r>
          </w:p>
        </w:tc>
        <w:tc>
          <w:tcPr>
            <w:tcW w:w="0" w:type="dxa"/>
            <w:vAlign w:val="bottom"/>
          </w:tcPr>
          <w:p>
            <w:pPr>
              <w:spacing w:after="0"/>
              <w:rPr>
                <w:sz w:val="1"/>
                <w:szCs w:val="1"/>
                <w:color w:val="auto"/>
              </w:rPr>
            </w:pPr>
          </w:p>
        </w:tc>
      </w:tr>
      <w:tr>
        <w:trPr>
          <w:trHeight w:val="236"/>
        </w:trPr>
        <w:tc>
          <w:tcPr>
            <w:tcW w:w="39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Jean Bennett, M.D., Ph.D.</w:t>
            </w:r>
          </w:p>
        </w:tc>
        <w:tc>
          <w:tcPr>
            <w:tcW w:w="4720" w:type="dxa"/>
            <w:vAlign w:val="bottom"/>
            <w:shd w:val="clear" w:color="auto" w:fill="DEEAF6"/>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shd w:val="clear" w:color="auto" w:fill="DEEAF6"/>
          </w:tcPr>
          <w:p>
            <w:pPr>
              <w:jc w:val="center"/>
              <w:ind w:left="54"/>
              <w:spacing w:after="0"/>
              <w:rPr>
                <w:sz w:val="20"/>
                <w:szCs w:val="20"/>
                <w:color w:val="auto"/>
              </w:rPr>
            </w:pPr>
            <w:r>
              <w:rPr>
                <w:rFonts w:ascii="Arial" w:cs="Arial" w:eastAsia="Arial" w:hAnsi="Arial"/>
                <w:sz w:val="18"/>
                <w:szCs w:val="18"/>
                <w:color w:val="auto"/>
                <w:w w:val="90"/>
              </w:rPr>
              <w:t>35,324</w:t>
            </w: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Allan M. Fox</w:t>
            </w:r>
          </w:p>
        </w:tc>
        <w:tc>
          <w:tcPr>
            <w:tcW w:w="4720" w:type="dxa"/>
            <w:vAlign w:val="bottom"/>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tcPr>
          <w:p>
            <w:pPr>
              <w:jc w:val="center"/>
              <w:ind w:left="54"/>
              <w:spacing w:after="0"/>
              <w:rPr>
                <w:sz w:val="20"/>
                <w:szCs w:val="20"/>
                <w:color w:val="auto"/>
              </w:rPr>
            </w:pPr>
            <w:r>
              <w:rPr>
                <w:rFonts w:ascii="Arial" w:cs="Arial" w:eastAsia="Arial" w:hAnsi="Arial"/>
                <w:sz w:val="18"/>
                <w:szCs w:val="18"/>
                <w:color w:val="auto"/>
                <w:w w:val="89"/>
              </w:rPr>
              <w:t>107,824</w:t>
            </w:r>
          </w:p>
        </w:tc>
        <w:tc>
          <w:tcPr>
            <w:tcW w:w="0" w:type="dxa"/>
            <w:vAlign w:val="bottom"/>
          </w:tcPr>
          <w:p>
            <w:pPr>
              <w:spacing w:after="0"/>
              <w:rPr>
                <w:sz w:val="1"/>
                <w:szCs w:val="1"/>
                <w:color w:val="auto"/>
              </w:rPr>
            </w:pPr>
          </w:p>
        </w:tc>
      </w:tr>
      <w:tr>
        <w:trPr>
          <w:trHeight w:val="249"/>
        </w:trPr>
        <w:tc>
          <w:tcPr>
            <w:tcW w:w="39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Alexandra Glucksmann, Ph.D.</w:t>
            </w:r>
          </w:p>
        </w:tc>
        <w:tc>
          <w:tcPr>
            <w:tcW w:w="4720" w:type="dxa"/>
            <w:vAlign w:val="bottom"/>
            <w:shd w:val="clear" w:color="auto" w:fill="DEEAF6"/>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shd w:val="clear" w:color="auto" w:fill="DEEAF6"/>
          </w:tcPr>
          <w:p>
            <w:pPr>
              <w:jc w:val="center"/>
              <w:ind w:left="54"/>
              <w:spacing w:after="0"/>
              <w:rPr>
                <w:sz w:val="20"/>
                <w:szCs w:val="20"/>
                <w:color w:val="auto"/>
              </w:rPr>
            </w:pPr>
            <w:r>
              <w:rPr>
                <w:rFonts w:ascii="Arial" w:cs="Arial" w:eastAsia="Arial" w:hAnsi="Arial"/>
                <w:sz w:val="18"/>
                <w:szCs w:val="18"/>
                <w:color w:val="auto"/>
                <w:w w:val="90"/>
              </w:rPr>
              <w:t>70,324</w:t>
            </w: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A.N. “Jerry” Karabelas, Ph.D.</w:t>
            </w:r>
          </w:p>
        </w:tc>
        <w:tc>
          <w:tcPr>
            <w:tcW w:w="4720" w:type="dxa"/>
            <w:vAlign w:val="bottom"/>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tcPr>
          <w:p>
            <w:pPr>
              <w:jc w:val="center"/>
              <w:ind w:left="54"/>
              <w:spacing w:after="0"/>
              <w:rPr>
                <w:sz w:val="20"/>
                <w:szCs w:val="20"/>
                <w:color w:val="auto"/>
              </w:rPr>
            </w:pPr>
            <w:r>
              <w:rPr>
                <w:rFonts w:ascii="Arial" w:cs="Arial" w:eastAsia="Arial" w:hAnsi="Arial"/>
                <w:sz w:val="18"/>
                <w:szCs w:val="18"/>
                <w:color w:val="auto"/>
                <w:w w:val="89"/>
              </w:rPr>
              <w:t>132,199</w:t>
            </w:r>
          </w:p>
        </w:tc>
        <w:tc>
          <w:tcPr>
            <w:tcW w:w="0" w:type="dxa"/>
            <w:vAlign w:val="bottom"/>
          </w:tcPr>
          <w:p>
            <w:pPr>
              <w:spacing w:after="0"/>
              <w:rPr>
                <w:sz w:val="1"/>
                <w:szCs w:val="1"/>
                <w:color w:val="auto"/>
              </w:rPr>
            </w:pPr>
          </w:p>
        </w:tc>
      </w:tr>
      <w:tr>
        <w:trPr>
          <w:trHeight w:val="249"/>
        </w:trPr>
        <w:tc>
          <w:tcPr>
            <w:tcW w:w="39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George Migausky</w:t>
            </w:r>
          </w:p>
        </w:tc>
        <w:tc>
          <w:tcPr>
            <w:tcW w:w="4720" w:type="dxa"/>
            <w:vAlign w:val="bottom"/>
            <w:shd w:val="clear" w:color="auto" w:fill="DEEAF6"/>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shd w:val="clear" w:color="auto" w:fill="DEEAF6"/>
          </w:tcPr>
          <w:p>
            <w:pPr>
              <w:jc w:val="center"/>
              <w:ind w:left="54"/>
              <w:spacing w:after="0"/>
              <w:rPr>
                <w:sz w:val="20"/>
                <w:szCs w:val="20"/>
                <w:color w:val="auto"/>
              </w:rPr>
            </w:pPr>
            <w:r>
              <w:rPr>
                <w:rFonts w:ascii="Arial" w:cs="Arial" w:eastAsia="Arial" w:hAnsi="Arial"/>
                <w:sz w:val="18"/>
                <w:szCs w:val="18"/>
                <w:color w:val="auto"/>
                <w:w w:val="90"/>
              </w:rPr>
              <w:t>35,324</w:t>
            </w: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Arial" w:cs="Arial" w:eastAsia="Arial" w:hAnsi="Arial"/>
                <w:sz w:val="18"/>
                <w:szCs w:val="18"/>
                <w:color w:val="auto"/>
              </w:rPr>
              <w:t>David C. Stump, M.D.</w:t>
            </w:r>
          </w:p>
        </w:tc>
        <w:tc>
          <w:tcPr>
            <w:tcW w:w="4720" w:type="dxa"/>
            <w:vAlign w:val="bottom"/>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tcPr>
          <w:p>
            <w:pPr>
              <w:jc w:val="center"/>
              <w:ind w:left="54"/>
              <w:spacing w:after="0"/>
              <w:rPr>
                <w:sz w:val="20"/>
                <w:szCs w:val="20"/>
                <w:color w:val="auto"/>
              </w:rPr>
            </w:pPr>
            <w:r>
              <w:rPr>
                <w:rFonts w:ascii="Arial" w:cs="Arial" w:eastAsia="Arial" w:hAnsi="Arial"/>
                <w:sz w:val="18"/>
                <w:szCs w:val="18"/>
                <w:color w:val="auto"/>
                <w:w w:val="89"/>
              </w:rPr>
              <w:t>107,824</w:t>
            </w:r>
          </w:p>
        </w:tc>
        <w:tc>
          <w:tcPr>
            <w:tcW w:w="0" w:type="dxa"/>
            <w:vAlign w:val="bottom"/>
          </w:tcPr>
          <w:p>
            <w:pPr>
              <w:spacing w:after="0"/>
              <w:rPr>
                <w:sz w:val="1"/>
                <w:szCs w:val="1"/>
                <w:color w:val="auto"/>
              </w:rPr>
            </w:pPr>
          </w:p>
        </w:tc>
      </w:tr>
      <w:tr>
        <w:trPr>
          <w:trHeight w:val="249"/>
        </w:trPr>
        <w:tc>
          <w:tcPr>
            <w:tcW w:w="39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Daniel Tassé</w:t>
            </w:r>
          </w:p>
        </w:tc>
        <w:tc>
          <w:tcPr>
            <w:tcW w:w="4720" w:type="dxa"/>
            <w:vAlign w:val="bottom"/>
            <w:shd w:val="clear" w:color="auto" w:fill="DEEAF6"/>
          </w:tcPr>
          <w:p>
            <w:pPr>
              <w:jc w:val="center"/>
              <w:ind w:left="2193"/>
              <w:spacing w:after="0"/>
              <w:rPr>
                <w:sz w:val="20"/>
                <w:szCs w:val="20"/>
                <w:color w:val="auto"/>
              </w:rPr>
            </w:pPr>
            <w:r>
              <w:rPr>
                <w:rFonts w:ascii="Arial" w:cs="Arial" w:eastAsia="Arial" w:hAnsi="Arial"/>
                <w:sz w:val="18"/>
                <w:szCs w:val="18"/>
                <w:color w:val="auto"/>
                <w:w w:val="88"/>
              </w:rPr>
              <w:t>3,010</w:t>
            </w:r>
          </w:p>
        </w:tc>
        <w:tc>
          <w:tcPr>
            <w:tcW w:w="2600" w:type="dxa"/>
            <w:vAlign w:val="bottom"/>
            <w:shd w:val="clear" w:color="auto" w:fill="DEEAF6"/>
          </w:tcPr>
          <w:p>
            <w:pPr>
              <w:jc w:val="center"/>
              <w:ind w:left="54"/>
              <w:spacing w:after="0"/>
              <w:rPr>
                <w:sz w:val="20"/>
                <w:szCs w:val="20"/>
                <w:color w:val="auto"/>
              </w:rPr>
            </w:pPr>
            <w:r>
              <w:rPr>
                <w:rFonts w:ascii="Arial" w:cs="Arial" w:eastAsia="Arial" w:hAnsi="Arial"/>
                <w:sz w:val="18"/>
                <w:szCs w:val="18"/>
                <w:color w:val="auto"/>
                <w:w w:val="90"/>
              </w:rPr>
              <w:t>95,324</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Jennifer Zachary</w:t>
            </w:r>
          </w:p>
        </w:tc>
        <w:tc>
          <w:tcPr>
            <w:tcW w:w="4720" w:type="dxa"/>
            <w:vAlign w:val="bottom"/>
          </w:tcPr>
          <w:p>
            <w:pPr>
              <w:jc w:val="center"/>
              <w:ind w:left="2193"/>
              <w:spacing w:after="0"/>
              <w:rPr>
                <w:sz w:val="20"/>
                <w:szCs w:val="20"/>
                <w:color w:val="auto"/>
              </w:rPr>
            </w:pPr>
            <w:r>
              <w:rPr>
                <w:rFonts w:ascii="Arial" w:cs="Arial" w:eastAsia="Arial" w:hAnsi="Arial"/>
                <w:sz w:val="18"/>
                <w:szCs w:val="18"/>
                <w:color w:val="auto"/>
                <w:w w:val="88"/>
              </w:rPr>
              <w:t>6,020</w:t>
            </w:r>
          </w:p>
        </w:tc>
        <w:tc>
          <w:tcPr>
            <w:tcW w:w="2600" w:type="dxa"/>
            <w:vAlign w:val="bottom"/>
          </w:tcPr>
          <w:p>
            <w:pPr>
              <w:jc w:val="center"/>
              <w:ind w:left="54"/>
              <w:spacing w:after="0"/>
              <w:rPr>
                <w:sz w:val="20"/>
                <w:szCs w:val="20"/>
                <w:color w:val="auto"/>
              </w:rPr>
            </w:pPr>
            <w:r>
              <w:rPr>
                <w:rFonts w:ascii="Arial" w:cs="Arial" w:eastAsia="Arial" w:hAnsi="Arial"/>
                <w:sz w:val="18"/>
                <w:szCs w:val="18"/>
                <w:color w:val="auto"/>
                <w:w w:val="90"/>
              </w:rPr>
              <w:t>29,739</w:t>
            </w:r>
          </w:p>
        </w:tc>
        <w:tc>
          <w:tcPr>
            <w:tcW w:w="0" w:type="dxa"/>
            <w:vAlign w:val="bottom"/>
          </w:tcPr>
          <w:p>
            <w:pPr>
              <w:spacing w:after="0"/>
              <w:rPr>
                <w:sz w:val="1"/>
                <w:szCs w:val="1"/>
                <w:color w:val="auto"/>
              </w:rPr>
            </w:pPr>
          </w:p>
        </w:tc>
      </w:tr>
      <w:tr>
        <w:trPr>
          <w:trHeight w:val="701"/>
        </w:trPr>
        <w:tc>
          <w:tcPr>
            <w:tcW w:w="3920" w:type="dxa"/>
            <w:vAlign w:val="bottom"/>
          </w:tcPr>
          <w:p>
            <w:pPr>
              <w:spacing w:after="0"/>
              <w:rPr>
                <w:sz w:val="24"/>
                <w:szCs w:val="24"/>
                <w:color w:val="auto"/>
              </w:rPr>
            </w:pPr>
          </w:p>
        </w:tc>
        <w:tc>
          <w:tcPr>
            <w:tcW w:w="4720" w:type="dxa"/>
            <w:vAlign w:val="bottom"/>
          </w:tcPr>
          <w:p>
            <w:pPr>
              <w:jc w:val="right"/>
              <w:ind w:right="2833"/>
              <w:spacing w:after="0"/>
              <w:rPr>
                <w:sz w:val="20"/>
                <w:szCs w:val="20"/>
                <w:color w:val="auto"/>
              </w:rPr>
            </w:pPr>
            <w:r>
              <w:rPr>
                <w:rFonts w:ascii="Arial" w:cs="Arial" w:eastAsia="Arial" w:hAnsi="Arial"/>
                <w:sz w:val="18"/>
                <w:szCs w:val="18"/>
                <w:color w:val="auto"/>
              </w:rPr>
              <w:t>19</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The Audit Committee of the Board has selected PwC as our independent registered public accounting firm to perform the audit of our financial statements for the year ending December 31, 2023, and has further directed that management submit this selection for ratification by our stockholders at the Annual Meeting. PwC has served as our independent registered public accounting firm since 2015. Representatives of PwC are expected to be present at the Annual Meeting. They will have an opportunity to make a statement if they so desire and will be available to respond to appropriate questions.</w:t>
      </w:r>
    </w:p>
    <w:p>
      <w:pPr>
        <w:spacing w:after="0" w:line="157"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spacing w:after="0" w:line="161"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spacing w:after="0" w:line="164"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Neither our Bylaws nor other governing documents or laws require stockholder ratification of the selection of PwC as our independent registered public accounting firm. However, the Audit Committee is submitting the selection of PwC to the stockholders for ratification as a matter of good corporate practice. If the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In order for Proposal 2 to pass, the number of votes cast “For” Proposal 2 must exceed the number of votes cast against Proposal 2.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a matter on which banks, brokers or other nominees are generally empowered to vote any shares for which a beneficial owner does not provide voting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229"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2022 and 2021, by PwC, our independent registered public accounting firm: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Fee Category</w:t>
            </w:r>
          </w:p>
        </w:tc>
        <w:tc>
          <w:tcPr>
            <w:tcW w:w="1680" w:type="dxa"/>
            <w:vAlign w:val="bottom"/>
          </w:tcPr>
          <w:p>
            <w:pPr>
              <w:ind w:left="540"/>
              <w:spacing w:after="0"/>
              <w:rPr>
                <w:sz w:val="20"/>
                <w:szCs w:val="20"/>
                <w:color w:val="auto"/>
              </w:rPr>
            </w:pPr>
            <w:r>
              <w:rPr>
                <w:rFonts w:ascii="Arial" w:cs="Arial" w:eastAsia="Arial" w:hAnsi="Arial"/>
                <w:sz w:val="14"/>
                <w:szCs w:val="14"/>
                <w:b w:val="1"/>
                <w:bCs w:val="1"/>
                <w:color w:val="auto"/>
              </w:rPr>
              <w:t>2022 Fees</w:t>
            </w:r>
          </w:p>
        </w:tc>
        <w:tc>
          <w:tcPr>
            <w:tcW w:w="180" w:type="dxa"/>
            <w:vAlign w:val="bottom"/>
          </w:tcPr>
          <w:p>
            <w:pPr>
              <w:spacing w:after="0"/>
              <w:rPr>
                <w:sz w:val="14"/>
                <w:szCs w:val="14"/>
                <w:color w:val="auto"/>
              </w:rPr>
            </w:pPr>
          </w:p>
        </w:tc>
        <w:tc>
          <w:tcPr>
            <w:tcW w:w="1660" w:type="dxa"/>
            <w:vAlign w:val="bottom"/>
          </w:tcPr>
          <w:p>
            <w:pPr>
              <w:ind w:left="540"/>
              <w:spacing w:after="0"/>
              <w:rPr>
                <w:sz w:val="20"/>
                <w:szCs w:val="20"/>
                <w:color w:val="auto"/>
              </w:rPr>
            </w:pPr>
            <w:r>
              <w:rPr>
                <w:rFonts w:ascii="Arial" w:cs="Arial" w:eastAsia="Arial" w:hAnsi="Arial"/>
                <w:sz w:val="14"/>
                <w:szCs w:val="14"/>
                <w:b w:val="1"/>
                <w:bCs w:val="1"/>
                <w:color w:val="auto"/>
              </w:rPr>
              <w:t>2021 Fees</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77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Audit Fees</w:t>
            </w:r>
          </w:p>
        </w:tc>
        <w:tc>
          <w:tcPr>
            <w:tcW w:w="16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1,123,800</w:t>
            </w:r>
          </w:p>
        </w:tc>
        <w:tc>
          <w:tcPr>
            <w:tcW w:w="1840" w:type="dxa"/>
            <w:vAlign w:val="bottom"/>
            <w:gridSpan w:val="2"/>
            <w:shd w:val="clear" w:color="auto" w:fill="DEEAF6"/>
          </w:tcPr>
          <w:p>
            <w:pPr>
              <w:jc w:val="center"/>
              <w:ind w:left="75"/>
              <w:spacing w:after="0"/>
              <w:rPr>
                <w:sz w:val="20"/>
                <w:szCs w:val="20"/>
                <w:color w:val="auto"/>
              </w:rPr>
            </w:pPr>
            <w:r>
              <w:rPr>
                <w:rFonts w:ascii="Arial" w:cs="Arial" w:eastAsia="Arial" w:hAnsi="Arial"/>
                <w:sz w:val="18"/>
                <w:szCs w:val="18"/>
                <w:color w:val="auto"/>
                <w:w w:val="89"/>
              </w:rPr>
              <w:t>1,249,300</w:t>
            </w:r>
          </w:p>
        </w:tc>
        <w:tc>
          <w:tcPr>
            <w:tcW w:w="0" w:type="dxa"/>
            <w:vAlign w:val="bottom"/>
          </w:tcPr>
          <w:p>
            <w:pPr>
              <w:spacing w:after="0"/>
              <w:rPr>
                <w:sz w:val="1"/>
                <w:szCs w:val="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Audit-Related Fees</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9"/>
        </w:trPr>
        <w:tc>
          <w:tcPr>
            <w:tcW w:w="77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Tax Fees</w:t>
            </w:r>
          </w:p>
        </w:tc>
        <w:tc>
          <w:tcPr>
            <w:tcW w:w="16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DEEAF6"/>
          </w:tcPr>
          <w:p>
            <w:pPr>
              <w:jc w:val="center"/>
              <w:ind w:left="95"/>
              <w:spacing w:after="0"/>
              <w:rPr>
                <w:sz w:val="20"/>
                <w:szCs w:val="20"/>
                <w:color w:val="auto"/>
              </w:rPr>
            </w:pPr>
            <w:r>
              <w:rPr>
                <w:rFonts w:ascii="Arial" w:cs="Arial" w:eastAsia="Arial" w:hAnsi="Arial"/>
                <w:sz w:val="18"/>
                <w:szCs w:val="18"/>
                <w:color w:val="auto"/>
                <w:w w:val="90"/>
              </w:rPr>
              <w:t>30,000</w:t>
            </w:r>
          </w:p>
        </w:tc>
        <w:tc>
          <w:tcPr>
            <w:tcW w:w="0" w:type="dxa"/>
            <w:vAlign w:val="bottom"/>
          </w:tcPr>
          <w:p>
            <w:pPr>
              <w:spacing w:after="0"/>
              <w:rPr>
                <w:sz w:val="1"/>
                <w:szCs w:val="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All Other Fees</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900</w:t>
            </w:r>
          </w:p>
        </w:tc>
        <w:tc>
          <w:tcPr>
            <w:tcW w:w="1840" w:type="dxa"/>
            <w:vAlign w:val="bottom"/>
            <w:gridSpan w:val="2"/>
          </w:tcPr>
          <w:p>
            <w:pPr>
              <w:jc w:val="center"/>
              <w:ind w:left="95"/>
              <w:spacing w:after="0"/>
              <w:rPr>
                <w:sz w:val="20"/>
                <w:szCs w:val="20"/>
                <w:color w:val="auto"/>
              </w:rPr>
            </w:pPr>
            <w:r>
              <w:rPr>
                <w:rFonts w:ascii="Arial" w:cs="Arial" w:eastAsia="Arial" w:hAnsi="Arial"/>
                <w:sz w:val="18"/>
                <w:szCs w:val="18"/>
                <w:color w:val="auto"/>
                <w:w w:val="86"/>
              </w:rPr>
              <w:t>900</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DEEAF6"/>
            </w:tcBorders>
            <w:shd w:val="clear" w:color="auto" w:fill="DEEAF6"/>
          </w:tcPr>
          <w:p>
            <w:pPr>
              <w:ind w:left="120"/>
              <w:spacing w:after="0"/>
              <w:rPr>
                <w:sz w:val="20"/>
                <w:szCs w:val="20"/>
                <w:color w:val="auto"/>
              </w:rPr>
            </w:pPr>
            <w:r>
              <w:rPr>
                <w:rFonts w:ascii="Arial" w:cs="Arial" w:eastAsia="Arial" w:hAnsi="Arial"/>
                <w:sz w:val="18"/>
                <w:szCs w:val="18"/>
                <w:color w:val="auto"/>
              </w:rPr>
              <w:t>Total Fees</w:t>
            </w:r>
          </w:p>
        </w:tc>
        <w:tc>
          <w:tcPr>
            <w:tcW w:w="1680" w:type="dxa"/>
            <w:vAlign w:val="bottom"/>
            <w:tcBorders>
              <w:top w:val="single" w:sz="8" w:color="auto"/>
              <w:bottom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89"/>
              </w:rPr>
              <w:t>1,124,700</w:t>
            </w:r>
          </w:p>
        </w:tc>
        <w:tc>
          <w:tcPr>
            <w:tcW w:w="180" w:type="dxa"/>
            <w:vAlign w:val="bottom"/>
            <w:tcBorders>
              <w:bottom w:val="single" w:sz="8" w:color="DEEAF6"/>
            </w:tcBorders>
            <w:shd w:val="clear" w:color="auto" w:fill="DEEAF6"/>
          </w:tcPr>
          <w:p>
            <w:pPr>
              <w:spacing w:after="0"/>
              <w:rPr>
                <w:sz w:val="24"/>
                <w:szCs w:val="24"/>
                <w:color w:val="auto"/>
              </w:rPr>
            </w:pPr>
          </w:p>
        </w:tc>
        <w:tc>
          <w:tcPr>
            <w:tcW w:w="1660" w:type="dxa"/>
            <w:vAlign w:val="bottom"/>
            <w:tcBorders>
              <w:top w:val="single" w:sz="8" w:color="auto"/>
              <w:bottom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89"/>
              </w:rPr>
              <w:t>1,280,200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right="480" w:firstLine="749"/>
        <w:spacing w:after="0" w:line="263" w:lineRule="auto"/>
        <w:rPr>
          <w:sz w:val="20"/>
          <w:szCs w:val="20"/>
          <w:color w:val="auto"/>
        </w:rPr>
      </w:pPr>
      <w:r>
        <w:rPr>
          <w:rFonts w:ascii="Arial" w:cs="Arial" w:eastAsia="Arial" w:hAnsi="Arial"/>
          <w:sz w:val="18"/>
          <w:szCs w:val="18"/>
          <w:color w:val="auto"/>
        </w:rPr>
        <w:t>Audit fees consist of aggregate fees billed or incurred by PwC for professional services rendered in connection with the annual audit of our financial statements, including internal control attestations, quarterly review procedures, consents issued for our registration statements and securities offerings.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760"/>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Tax fees consist of fees for tax planning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other fees consist of license fees billed or incurred by PwC for access to its proprietary disclosure checklist software platform.</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audit fees and other fees described above were pre-approved by the Audit Committee in accordance with applicable SEC requirements.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Audit Committee’s policy is to pre-approve all audit and permissible non-audit services rendered by PwC, our independent registered public accounting firm. The Audit Committee can pre-approve specified services in defined categories of audit services, audit-related services, tax services and all other services up to specified amounts, as part of the Audit Committee’s approval of the scope of the engagement of PwC or on an individual case-by-case basis before PwC is engaged to provide a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PWC AS OUR INDEPENDENT REGISTERED PUBLIC ACCOUNTING FIRM FOR THE YEAR ENDING DECEMBER 31, 2023.</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Audit Committee of the Board is composed entirely of independent directors. The Board annually reviews the Nasdaq listing standards’ definition of independence for Audit Committee members (including the requirements of Rule 10A-3 promulgated under the Exchange Act) and has determined that each member of the Audit Committee meets that standard. George Migausky serves as an audit committee financial expert in accordance with applicable SEC regulations.</w:t>
      </w:r>
    </w:p>
    <w:p>
      <w:pPr>
        <w:spacing w:after="0" w:line="18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The purpose of the Audit Committee is to assist the Board in fulfilling its oversight responsibilities relating to the Company’s financial accounting, internal controls, reporting and compliance. The Audit Committee is responsible for selecting and engaging the Company’s independent auditor and approving the audit and non-audit services to be provided by the independent auditor. The Audit Committee’s function is more fully described in its charter, which the Board has adopted and which the Audit Committee reviews and approves on an annual basis.</w:t>
      </w:r>
    </w:p>
    <w:p>
      <w:pPr>
        <w:spacing w:after="0" w:line="17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 xml:space="preserve">The Company’s management is responsible for preparing the Company’s financial statements and for the Company’s financial reporting process, including the Company’s internal control over financial reporting and disclosure controls and procedures. The Company’s independent registered public accounting firm, PwC, is responsible for performing an independent audit of the Company’s financial statements and expressing an opinion on the conformity of those financial statements with accounting principles generally accepted in the United States and for auditing the effectiveness of the Company’s internal control over financial reporting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9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Audit Committee has reviewed and discussed with the Company’s management and PwC the audited financial statements in the Annual Report. In addition, the Audit Committee discussed with PwC those matters required to be discussed by the applicable requirements of the Public Company Accounting Oversight Board (“PCAOB”) and the SEC, including the scope and results of PwC’s audits, the Company’s critical accounting policies and estimates, new accounting guidance and the critical audit matter addressed during the audit. PwC provided the Audit Committee with the written disclosures and the letter required by applicable requirements of the PCAOB regarding PwC’s communications with the Audit Committee regarding PwC’s independence and the Audit Committee and PwC discussed PwC’s independence from the Company. PwC had full access to the Audit Committee.</w:t>
      </w:r>
    </w:p>
    <w:p>
      <w:pPr>
        <w:spacing w:after="0" w:line="16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Based upon the review and discussions described above, the Audit Committee recommended to the Board that the audited financial statements be included in the Annual Report for filing with the SEC. The Audit Committee has selected PwC as the Company’s independent registered public accounting firm for the year ended December 31, 2023, and has submitted its appointment of PwC for ratification by the Company’s stockholders.</w:t>
      </w:r>
    </w:p>
    <w:p>
      <w:pPr>
        <w:spacing w:after="0" w:line="16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The Audit Committee</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George Migausky, Chair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David C. Stump, M.D.</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Jennifer Zachary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In accordance with Section 14A of the Exchange Act, we are holding a stockholder advisory vote on the compensation of our named executive officers, or a “say-on-pay vote,” as described in the “Executive Compensation” section, the tabular disclosure regarding such compensation and the accompanying narrative disclosure set forth in this Proxy Statement. At the Annual Meeting, stockholders will be asked to approve the following resolution:</w:t>
      </w:r>
    </w:p>
    <w:p>
      <w:pPr>
        <w:spacing w:after="0" w:line="18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RESOLVED, that the stockholders of REGENXBIO Inc. (the “Company”) hereby approve, on a non-binding advisory basis, the compensation of the Company’s named executive officers, as disclosed in the Compensation Discussion and Analysis and compensation tables thereto pursuant to the compensation disclosure rules of the Securities and Exchange Commission.</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Compensation Committee oversees and administers our executive compensation program, including the evaluation and approval of compensation plans, policies and programs offered to our named executive officers. Our executive compensation program is designed to meet the following objectives:</w:t>
      </w:r>
    </w:p>
    <w:p>
      <w:pPr>
        <w:spacing w:after="0" w:line="184"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 total compensation package that is highly competitive in order to attract and retain highly qualified executives;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the interests of our executives with the interests of our stockholders;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emphasize the use of variable, performance-based compensation to reward executives for meeting strategic objectives.</w:t>
      </w:r>
    </w:p>
    <w:p>
      <w:pPr>
        <w:spacing w:after="0" w:line="225"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Please see the “Executive Compensation” section of this Proxy Statement for a detailed discussion about our executive compensation program, including information about the 2022 compensation of our named executive officers.</w:t>
      </w:r>
    </w:p>
    <w:p>
      <w:pPr>
        <w:spacing w:after="0" w:line="170"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While this vote is being conducted on an advisory basis, and is therefore not binding on us, the vote will be carefully considered by the Compensation Committee and the Board. Both the Compensation Committee and the Board value the opinions of our stockholders and, to the extent there is any meaningful vote against the compensation of our named executive officers as disclosed in this Proxy Statement, we will consider our stockholders’ concerns and evaluate what actions, if any, may be appropriate to address those concerns. The outcome of the vote, however, will not be construed as overruling any prior decision by the Company, the Compensation Committee or the Board. The current frequency of non-binding advisory votes on executive compensation is an annual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order for Proposal 3 to pass, the number of votes cast “For” Proposal 3 must exceed the number of votes cast “Against” Proposal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not be counted either “For” or “Against” the proposal and will have no effect on the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THE BOARD UNANIMOUSLY RECOMMENDS A VOTE “FOR” THE APPROVAL, ON AN ADVISORY BASIS, OF THE 2022 COMPENSATION OF OUR NAMED EXECUTIVE OFFICERS.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names of the current executive officers of the Company and certain information about each of them are set forth below:</w:t>
      </w:r>
    </w:p>
    <w:p>
      <w:pPr>
        <w:spacing w:after="0" w:line="225" w:lineRule="exact"/>
        <w:rPr>
          <w:sz w:val="20"/>
          <w:szCs w:val="20"/>
          <w:color w:val="auto"/>
        </w:rPr>
      </w:pPr>
    </w:p>
    <w:p>
      <w:pPr>
        <w:ind w:right="660" w:firstLine="749"/>
        <w:spacing w:after="0" w:line="277" w:lineRule="auto"/>
        <w:rPr>
          <w:sz w:val="20"/>
          <w:szCs w:val="20"/>
          <w:color w:val="auto"/>
        </w:rPr>
      </w:pPr>
      <w:r>
        <w:rPr>
          <w:rFonts w:ascii="Arial" w:cs="Arial" w:eastAsia="Arial" w:hAnsi="Arial"/>
          <w:sz w:val="18"/>
          <w:szCs w:val="18"/>
          <w:b w:val="1"/>
          <w:bCs w:val="1"/>
          <w:i w:val="1"/>
          <w:iCs w:val="1"/>
          <w:color w:val="auto"/>
        </w:rPr>
        <w:t>Kenneth T. Mills</w:t>
      </w:r>
      <w:r>
        <w:rPr>
          <w:rFonts w:ascii="Arial" w:cs="Arial" w:eastAsia="Arial" w:hAnsi="Arial"/>
          <w:sz w:val="18"/>
          <w:szCs w:val="18"/>
          <w:color w:val="auto"/>
        </w:rPr>
        <w:t>. For information regarding Mr. Mills, our President and CEO and a member of our Board, see “Proposal 1: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w:t>
      </w:r>
    </w:p>
    <w:p>
      <w:pPr>
        <w:spacing w:after="0" w:line="170"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b w:val="1"/>
          <w:bCs w:val="1"/>
          <w:i w:val="1"/>
          <w:iCs w:val="1"/>
          <w:color w:val="auto"/>
        </w:rPr>
        <w:t>Vit Vasista</w:t>
      </w:r>
      <w:r>
        <w:rPr>
          <w:rFonts w:ascii="Arial" w:cs="Arial" w:eastAsia="Arial" w:hAnsi="Arial"/>
          <w:sz w:val="18"/>
          <w:szCs w:val="18"/>
          <w:color w:val="auto"/>
        </w:rPr>
        <w:t>, age 55, is currently our EVP, Chief Financial Officer and has been our Chief Financial Officer since August 2009.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Vasista served as Principal at PRTM Management Consultants from October 2006 to July 2009, where he developed operational strategies for both private and public organizations, including the development of market entry strategies, innovative business models, and operational improvements. Mr. Vasista received an M.B.A. from The Wharton School at the University of Pennsylvania, an M.S. in Mechanical Engineering from Stanford University, and an S.B. in Mechanical Engineering from the Massachusetts Institute of Technology.</w:t>
      </w:r>
    </w:p>
    <w:p>
      <w:pPr>
        <w:spacing w:after="0" w:line="188"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b w:val="1"/>
          <w:bCs w:val="1"/>
          <w:i w:val="1"/>
          <w:iCs w:val="1"/>
          <w:color w:val="auto"/>
        </w:rPr>
        <w:t>Curran Simpson</w:t>
      </w:r>
      <w:r>
        <w:rPr>
          <w:rFonts w:ascii="Arial" w:cs="Arial" w:eastAsia="Arial" w:hAnsi="Arial"/>
          <w:sz w:val="18"/>
          <w:szCs w:val="18"/>
          <w:color w:val="auto"/>
        </w:rPr>
        <w:t>, age 61, is currently our EVP, Chief Operating Officer and has been on our senior management team since August 2015.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us, Mr. Simpson was the Regional Supply Chain Head for North America at GlaxoSmithKline plc (“GSK”), a pharmaceutical company, from December 2012 until August 2015. Mr. Simpson was the Senior Vice President, Operations at the Human Genome Sciences division of GSK (“HGS”) from July 2006 to December 2012,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195"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b w:val="1"/>
          <w:bCs w:val="1"/>
          <w:i w:val="1"/>
          <w:iCs w:val="1"/>
          <w:color w:val="auto"/>
        </w:rPr>
        <w:t>Steve Pakola, M.D.</w:t>
      </w:r>
      <w:r>
        <w:rPr>
          <w:rFonts w:ascii="Arial" w:cs="Arial" w:eastAsia="Arial" w:hAnsi="Arial"/>
          <w:sz w:val="17"/>
          <w:szCs w:val="17"/>
          <w:color w:val="auto"/>
        </w:rPr>
        <w:t>, age 54, is currently our EVP, Chief Medical Officer and has been our Chief Medical Officer since April 2019.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Dr. Pakola served as Chief Medical Officer of Aerpio Pharmaceuticals, Inc. from October 2015 until April 2019. From April 2012 until October 2015, Dr. Pakola was the Chief Medical Officer of Amakem NV, a biopharmaceutical company. Prior to Amakem, from May 2000 until April 2012, Dr. Pakola was the Chief Medical Officer of ThromboGenics NV, a biopharmaceutical company, where he was the lead inventor and program lead for the Jetrea (ocriplasmin) program. Dr. Pakola received an M.D. and a B.A. in Biology, each from the University of Pennsylvania.</w:t>
      </w:r>
    </w:p>
    <w:p>
      <w:pPr>
        <w:spacing w:after="0" w:line="176"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b w:val="1"/>
          <w:bCs w:val="1"/>
          <w:i w:val="1"/>
          <w:iCs w:val="1"/>
          <w:color w:val="auto"/>
        </w:rPr>
        <w:t>Olivier Danos, Ph.D.</w:t>
      </w:r>
      <w:r>
        <w:rPr>
          <w:rFonts w:ascii="Arial" w:cs="Arial" w:eastAsia="Arial" w:hAnsi="Arial"/>
          <w:sz w:val="17"/>
          <w:szCs w:val="17"/>
          <w:color w:val="auto"/>
        </w:rPr>
        <w:t>, age 65, is currently our EVP, Chief Scientific Officer and has been our Chief Scientific Officer since March 2017.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Dr. Danos was the Senior Vice President, Cell and Gene Therapy at Biogen Inc., a biotechnology company, from September 2014 until March 2017, where he led its gene therapy research and development activities. From September 2011 to September 2014, Dr. Danos was the Senior Vice President, Molecular Medicine, Synthetic Biology and Gene Regulation at Kadmon Pharmaceuticals. Prior to Kadmon, Dr. Danos served as the Director of the Gene Therapy Consortium of the University College of London and led a gene therapy research team at the Necker Hospital—Enfants Malades in Paris. He also served as the Chief Scientific Officer at Genethon and Senior Director of Research at Somatix Therapy Corporation, and held senior roles at the French National Centre for Scientific Research and the Pasteur Institute in Paris. Dr. Danos is the former President and founding member of the European Society of Gene and Cell Therapy. Dr. Danos received a Ph.D. in Biology from the Pasteur Institute and University of Paris Diderot and a Master in Science in Genetics and Molecular Biology at the University of Paris Orsay.</w:t>
      </w:r>
    </w:p>
    <w:p>
      <w:pPr>
        <w:spacing w:after="0" w:line="181"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b w:val="1"/>
          <w:bCs w:val="1"/>
          <w:i w:val="1"/>
          <w:iCs w:val="1"/>
          <w:color w:val="auto"/>
        </w:rPr>
        <w:t>Patrick J. Christmas</w:t>
      </w:r>
      <w:r>
        <w:rPr>
          <w:rFonts w:ascii="Arial" w:cs="Arial" w:eastAsia="Arial" w:hAnsi="Arial"/>
          <w:sz w:val="18"/>
          <w:szCs w:val="18"/>
          <w:color w:val="auto"/>
        </w:rPr>
        <w:t>, age 52, is currently our EVP, Chief Legal Officer and has been on our senior management team since August 2016.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us, Mr. Christmas served as Interim General Counsel at Tolero Pharmaceuticals, Inc. from April 2015 until August 2016. From May 2011 until November 2014, Mr. Christmas was the Vice President, General Counsel of Lumara Health, a specialty pharmaceutical company. Prior to Lumara Health, Mr. Christmas was General Counsel at the Wellstat Companies, a group of biotechnology companies, from July 2007 until May 2011 and General Counsel at BioVeris Corporation, a publicly held diagnostics company, from April 2005 to July 2007. Mr. Christmas began his career as an Associate at the law firm of Akin Gump Strauss Hauer &amp; Feld LLP. Mr. Christmas received a J.D. from the University of Notre Dame and a B.A. in Economics from Boston College.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This Compensation Discussion and Analysis (“CD&amp;A”) explains our compensation philosophy, policies and decisions for 2022 for the following executives, whom we refer to in this CD&amp;A and in the related tables as our named executive officers (“NEOs”):</w:t>
      </w:r>
    </w:p>
    <w:p>
      <w:pPr>
        <w:spacing w:after="0" w:line="170"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Kenneth T. Mills, our President and CEO;</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Vit Vasista, our EVP, Chief Financial Officer;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Curran Simpson, our EVP, Chief Operating Officer;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Stephen Pakola, M.D., our EVP, Chief Medical Officer;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Olivier Danos, Ph.D., our EVP, Chief Scientific Officer.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Summary of Our 2022 Achievements</w:t>
      </w:r>
    </w:p>
    <w:p>
      <w:pPr>
        <w:spacing w:after="0" w:line="225"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Our investigational gene therapies use adeno-associated virus (“AAV”) vectors from our proprietary gene delivery platform, which we call our NAV Technology Platform. Our NAV Technology Platform consists of exclusive rights to a large portfolio of AAV vectors, including AAV7, AAV8, AAV9, AAVrh10 and more than 100 other novel AAV vectors (“NAV Vectors”). We and our third-party NAV Technology Platform Licensees are applying the NAV Technology Platform to a number of investigational gene therapies and one FDA-approved product over a broad range of therapeutic areas and disease indications.</w:t>
      </w:r>
    </w:p>
    <w:p>
      <w:pPr>
        <w:spacing w:after="0" w:line="195"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In 2022, we made significant progress toward our clinical development and business objectives, including the following achievements, which impacted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4225" cy="3088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3088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5"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i w:val="1"/>
          <w:iCs w:val="1"/>
          <w:color w:val="auto"/>
        </w:rPr>
        <w:t>RGX-314 for the Treatment of wet AMD and DR under the eyecare collaboration with AbbVie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Enrollment is ongoing in ATMOSPHERE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ASCENT™, two pivotal clinical trials to evaluate the efficacy and safety of RGX-314 in patients with wet AMD using the subretinal delivery approach. The ASCENT trial is the first trial to be initiated by REGENXBIO under the eye care collaboration with AbbVie. We announced new data from the Phase II AAVIATE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trial of RGX-314 for the treatment of wet AMD using suprachoroidal delivery. RGX-314 suprachoroidal delivery was reported to be well tolerated across 85 patients dosed in Cohorts 1-5. We also announced positive interim data from the expansion of Phase II ALTITUDE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trial of RGX-314 using in-office suprachoroidal delivery for the treatment of DR without center-involved diabetic macular edema.</w:t>
      </w:r>
    </w:p>
    <w:p>
      <w:pPr>
        <w:spacing w:after="0" w:line="1" w:lineRule="exact"/>
        <w:rPr>
          <w:sz w:val="20"/>
          <w:szCs w:val="20"/>
          <w:color w:val="auto"/>
        </w:rPr>
      </w:pPr>
    </w:p>
    <w:p>
      <w:pPr>
        <w:sectPr>
          <w:pgSz w:w="11900" w:h="16838" w:orient="portrait"/>
          <w:cols w:equalWidth="0" w:num="2">
            <w:col w:w="3380" w:space="240"/>
            <w:col w:w="7620"/>
          </w:cols>
          <w:pgMar w:left="320" w:top="121" w:right="339" w:bottom="1440" w:gutter="0" w:footer="0" w:header="0"/>
          <w:type w:val="continuous"/>
        </w:sectPr>
      </w:pPr>
    </w:p>
    <w:tbl>
      <w:tblPr>
        <w:tblLayout w:type="fixed"/>
        <w:tblInd w:w="10" w:type="dxa"/>
        <w:tblCellMar>
          <w:top w:w="0" w:type="dxa"/>
          <w:left w:w="0" w:type="dxa"/>
          <w:bottom w:w="0" w:type="dxa"/>
          <w:right w:w="0" w:type="dxa"/>
        </w:tblCellMar>
      </w:tblPr>
      <w:tr>
        <w:trPr>
          <w:trHeight w:val="330"/>
        </w:trPr>
        <w:tc>
          <w:tcPr>
            <w:tcW w:w="35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RGX-202 for the Treatment of Duchenne</w:t>
            </w:r>
          </w:p>
        </w:tc>
        <w:tc>
          <w:tcPr>
            <w:tcW w:w="7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7"/>
              </w:rPr>
              <w:t>We did not meet our objective of enrollment and dose escalation due to unexpected loss of clinical</w:t>
            </w:r>
          </w:p>
        </w:tc>
      </w:tr>
      <w:tr>
        <w:trPr>
          <w:trHeight w:val="237"/>
        </w:trPr>
        <w:tc>
          <w:tcPr>
            <w:tcW w:w="35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Muscular Dystrophy (“Duchenne”)</w:t>
            </w:r>
          </w:p>
        </w:tc>
        <w:tc>
          <w:tcPr>
            <w:tcW w:w="7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supply in the first quarter of 2022.</w:t>
            </w:r>
          </w:p>
        </w:tc>
      </w:tr>
      <w:tr>
        <w:trPr>
          <w:trHeight w:val="323"/>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RGX-121 for the Treatment of</w:t>
            </w:r>
          </w:p>
        </w:tc>
        <w:tc>
          <w:tcPr>
            <w:tcW w:w="7700" w:type="dxa"/>
            <w:vAlign w:val="bottom"/>
          </w:tcPr>
          <w:p>
            <w:pPr>
              <w:ind w:left="80"/>
              <w:spacing w:after="0"/>
              <w:rPr>
                <w:sz w:val="20"/>
                <w:szCs w:val="20"/>
                <w:color w:val="auto"/>
              </w:rPr>
            </w:pPr>
            <w:r>
              <w:rPr>
                <w:rFonts w:ascii="Arial" w:cs="Arial" w:eastAsia="Arial" w:hAnsi="Arial"/>
                <w:sz w:val="18"/>
                <w:szCs w:val="18"/>
                <w:color w:val="auto"/>
                <w:w w:val="94"/>
              </w:rPr>
              <w:t>We announced additional positive interim data from our ongoing CAMPSIITE pivotal trial of RGX-121</w:t>
            </w:r>
          </w:p>
        </w:tc>
      </w:tr>
      <w:tr>
        <w:trPr>
          <w:trHeight w:val="216"/>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Mucopolysaccharidosis Type II (“MPS II”)</w:t>
            </w:r>
          </w:p>
        </w:tc>
        <w:tc>
          <w:tcPr>
            <w:tcW w:w="7700" w:type="dxa"/>
            <w:vAlign w:val="bottom"/>
          </w:tcPr>
          <w:p>
            <w:pPr>
              <w:ind w:left="80"/>
              <w:spacing w:after="0"/>
              <w:rPr>
                <w:sz w:val="20"/>
                <w:szCs w:val="20"/>
                <w:color w:val="auto"/>
              </w:rPr>
            </w:pPr>
            <w:r>
              <w:rPr>
                <w:rFonts w:ascii="Arial" w:cs="Arial" w:eastAsia="Arial" w:hAnsi="Arial"/>
                <w:sz w:val="18"/>
                <w:szCs w:val="18"/>
                <w:color w:val="auto"/>
                <w:w w:val="96"/>
              </w:rPr>
              <w:t>for the treatment of patients up to 5 years old diagnosed with MPS II. Positive data supports a 2024</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rPr>
              <w:t>BLA filing using the accelerated approval pathway.</w:t>
            </w:r>
          </w:p>
        </w:tc>
      </w:tr>
      <w:tr>
        <w:trPr>
          <w:trHeight w:val="310"/>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Pr>
          <w:p>
            <w:pPr>
              <w:ind w:left="80"/>
              <w:spacing w:after="0"/>
              <w:rPr>
                <w:sz w:val="20"/>
                <w:szCs w:val="20"/>
                <w:color w:val="auto"/>
              </w:rPr>
            </w:pPr>
            <w:r>
              <w:rPr>
                <w:rFonts w:ascii="Arial" w:cs="Arial" w:eastAsia="Arial" w:hAnsi="Arial"/>
                <w:sz w:val="18"/>
                <w:szCs w:val="18"/>
                <w:color w:val="auto"/>
                <w:w w:val="93"/>
              </w:rPr>
              <w:t>A second Phase I/II trial of RGX-121 for the treatment of pediatric patients with MPS II over the age of</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 years old is ongoing.</w:t>
            </w:r>
          </w:p>
        </w:tc>
      </w:tr>
      <w:tr>
        <w:trPr>
          <w:trHeight w:val="323"/>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RGX-111 for the Treatment of</w:t>
            </w:r>
          </w:p>
        </w:tc>
        <w:tc>
          <w:tcPr>
            <w:tcW w:w="7700" w:type="dxa"/>
            <w:vAlign w:val="bottom"/>
          </w:tcPr>
          <w:p>
            <w:pPr>
              <w:ind w:left="80"/>
              <w:spacing w:after="0"/>
              <w:rPr>
                <w:sz w:val="20"/>
                <w:szCs w:val="20"/>
                <w:color w:val="auto"/>
              </w:rPr>
            </w:pPr>
            <w:r>
              <w:rPr>
                <w:rFonts w:ascii="Arial" w:cs="Arial" w:eastAsia="Arial" w:hAnsi="Arial"/>
                <w:sz w:val="18"/>
                <w:szCs w:val="18"/>
                <w:color w:val="auto"/>
                <w:w w:val="96"/>
              </w:rPr>
              <w:t>We completed enrollment of patients in expanded Cohort 2 of our Phase I/II trial of RGX-111 for the</w:t>
            </w:r>
          </w:p>
        </w:tc>
      </w:tr>
      <w:tr>
        <w:trPr>
          <w:trHeight w:val="237"/>
        </w:trPr>
        <w:tc>
          <w:tcPr>
            <w:tcW w:w="35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Mucopolysaccharidosis Type I (“MPS I”)</w:t>
            </w:r>
          </w:p>
        </w:tc>
        <w:tc>
          <w:tcPr>
            <w:tcW w:w="7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treatment of MPS I.</w:t>
            </w:r>
          </w:p>
        </w:tc>
      </w:tr>
      <w:tr>
        <w:trPr>
          <w:trHeight w:val="338"/>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RGX-181 and RGX-381</w:t>
            </w:r>
          </w:p>
        </w:tc>
        <w:tc>
          <w:tcPr>
            <w:tcW w:w="7700" w:type="dxa"/>
            <w:vAlign w:val="bottom"/>
          </w:tcPr>
          <w:p>
            <w:pPr>
              <w:ind w:left="80"/>
              <w:spacing w:after="0"/>
              <w:rPr>
                <w:sz w:val="20"/>
                <w:szCs w:val="20"/>
                <w:color w:val="auto"/>
              </w:rPr>
            </w:pPr>
            <w:r>
              <w:rPr>
                <w:rFonts w:ascii="Arial" w:cs="Arial" w:eastAsia="Arial" w:hAnsi="Arial"/>
                <w:sz w:val="18"/>
                <w:szCs w:val="18"/>
                <w:color w:val="auto"/>
              </w:rPr>
              <w:t>First patient dosed under a single-patient investigator-initiated study of RGX-181.</w:t>
            </w:r>
          </w:p>
        </w:tc>
      </w:tr>
      <w:tr>
        <w:trPr>
          <w:trHeight w:val="121"/>
        </w:trPr>
        <w:tc>
          <w:tcPr>
            <w:tcW w:w="3540" w:type="dxa"/>
            <w:vAlign w:val="bottom"/>
            <w:tcBorders>
              <w:left w:val="single" w:sz="8" w:color="auto"/>
              <w:bottom w:val="single" w:sz="8" w:color="auto"/>
              <w:right w:val="single" w:sz="8" w:color="auto"/>
            </w:tcBorders>
          </w:tcPr>
          <w:p>
            <w:pPr>
              <w:spacing w:after="0"/>
              <w:rPr>
                <w:sz w:val="10"/>
                <w:szCs w:val="10"/>
                <w:color w:val="auto"/>
              </w:rPr>
            </w:pPr>
          </w:p>
        </w:tc>
        <w:tc>
          <w:tcPr>
            <w:tcW w:w="7700" w:type="dxa"/>
            <w:vAlign w:val="bottom"/>
            <w:tcBorders>
              <w:bottom w:val="single" w:sz="8" w:color="auto"/>
            </w:tcBorders>
          </w:tcPr>
          <w:p>
            <w:pPr>
              <w:spacing w:after="0"/>
              <w:rPr>
                <w:sz w:val="10"/>
                <w:szCs w:val="10"/>
                <w:color w:val="auto"/>
              </w:rPr>
            </w:pPr>
          </w:p>
        </w:tc>
      </w:tr>
      <w:tr>
        <w:trPr>
          <w:trHeight w:val="426"/>
        </w:trPr>
        <w:tc>
          <w:tcPr>
            <w:tcW w:w="3540" w:type="dxa"/>
            <w:vAlign w:val="bottom"/>
          </w:tcPr>
          <w:p>
            <w:pPr>
              <w:spacing w:after="0"/>
              <w:rPr>
                <w:sz w:val="24"/>
                <w:szCs w:val="24"/>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25</w:t>
            </w:r>
          </w:p>
        </w:tc>
      </w:tr>
      <w:tr>
        <w:trPr>
          <w:trHeight w:val="115"/>
        </w:trPr>
        <w:tc>
          <w:tcPr>
            <w:tcW w:w="354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10" w:type="dxa"/>
        <w:tblCellMar>
          <w:top w:w="0" w:type="dxa"/>
          <w:left w:w="0" w:type="dxa"/>
          <w:bottom w:w="0" w:type="dxa"/>
          <w:right w:w="0" w:type="dxa"/>
        </w:tblCellMar>
      </w:tblPr>
      <w:tr>
        <w:trPr>
          <w:trHeight w:val="337"/>
        </w:trPr>
        <w:tc>
          <w:tcPr>
            <w:tcW w:w="3560" w:type="dxa"/>
            <w:vAlign w:val="bottom"/>
            <w:tcBorders>
              <w:top w:val="single" w:sz="8" w:color="auto"/>
              <w:left w:val="single" w:sz="8" w:color="auto"/>
              <w:righ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We received approval of the clinical trial application for RGX-381 from the UK Health Authority and</w:t>
            </w:r>
          </w:p>
        </w:tc>
        <w:tc>
          <w:tcPr>
            <w:tcW w:w="0" w:type="dxa"/>
            <w:vAlign w:val="bottom"/>
          </w:tcPr>
          <w:p>
            <w:pPr>
              <w:spacing w:after="0"/>
              <w:rPr>
                <w:sz w:val="1"/>
                <w:szCs w:val="1"/>
                <w:color w:val="auto"/>
              </w:rPr>
            </w:pPr>
          </w:p>
        </w:tc>
      </w:tr>
      <w:tr>
        <w:trPr>
          <w:trHeight w:val="257"/>
        </w:trPr>
        <w:tc>
          <w:tcPr>
            <w:tcW w:w="3560" w:type="dxa"/>
            <w:vAlign w:val="bottom"/>
            <w:tcBorders>
              <w:left w:val="single" w:sz="8" w:color="auto"/>
              <w:bottom w:val="single" w:sz="8" w:color="auto"/>
              <w:right w:val="single" w:sz="8" w:color="auto"/>
            </w:tcBorders>
          </w:tcPr>
          <w:p>
            <w:pPr>
              <w:spacing w:after="0"/>
              <w:rPr>
                <w:sz w:val="22"/>
                <w:szCs w:val="22"/>
                <w:color w:val="auto"/>
              </w:rPr>
            </w:pPr>
          </w:p>
        </w:tc>
        <w:tc>
          <w:tcPr>
            <w:tcW w:w="7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 expect to initiate a Phase I/II clinical trial in the first half of 2023.</w:t>
            </w:r>
          </w:p>
        </w:tc>
        <w:tc>
          <w:tcPr>
            <w:tcW w:w="0" w:type="dxa"/>
            <w:vAlign w:val="bottom"/>
          </w:tcPr>
          <w:p>
            <w:pPr>
              <w:spacing w:after="0"/>
              <w:rPr>
                <w:sz w:val="1"/>
                <w:szCs w:val="1"/>
                <w:color w:val="auto"/>
              </w:rPr>
            </w:pPr>
          </w:p>
        </w:tc>
      </w:tr>
      <w:tr>
        <w:trPr>
          <w:trHeight w:val="303"/>
        </w:trPr>
        <w:tc>
          <w:tcPr>
            <w:tcW w:w="35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i w:val="1"/>
                <w:iCs w:val="1"/>
                <w:color w:val="auto"/>
              </w:rPr>
              <w:t>Enhancement of Gene Therapy</w:t>
            </w:r>
          </w:p>
        </w:tc>
        <w:tc>
          <w:tcPr>
            <w:tcW w:w="7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Our Rockville, Maryland headquarters includes a cGMP manufacturing facility. Our cGMP</w:t>
            </w: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right w:val="single" w:sz="8" w:color="auto"/>
            </w:tcBorders>
            <w:vMerge w:val="continue"/>
          </w:tcPr>
          <w:p>
            <w:pPr>
              <w:spacing w:after="0"/>
              <w:rPr>
                <w:sz w:val="15"/>
                <w:szCs w:val="15"/>
                <w:color w:val="auto"/>
              </w:rPr>
            </w:pPr>
          </w:p>
        </w:tc>
        <w:tc>
          <w:tcPr>
            <w:tcW w:w="76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manufacturing facility, which was fully operational starting in the first half of 2022, allows for</w:t>
            </w:r>
          </w:p>
        </w:tc>
        <w:tc>
          <w:tcPr>
            <w:tcW w:w="0" w:type="dxa"/>
            <w:vAlign w:val="bottom"/>
          </w:tcPr>
          <w:p>
            <w:pPr>
              <w:spacing w:after="0"/>
              <w:rPr>
                <w:sz w:val="1"/>
                <w:szCs w:val="1"/>
                <w:color w:val="auto"/>
              </w:rPr>
            </w:pPr>
          </w:p>
        </w:tc>
      </w:tr>
      <w:tr>
        <w:trPr>
          <w:trHeight w:val="256"/>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Manufacturing Capabilities</w:t>
            </w:r>
          </w:p>
        </w:tc>
        <w:tc>
          <w:tcPr>
            <w:tcW w:w="7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production of NAV Vectors at scales up to 2,000 liters using our platform suspension cell culture</w:t>
            </w:r>
          </w:p>
        </w:tc>
        <w:tc>
          <w:tcPr>
            <w:tcW w:w="0" w:type="dxa"/>
            <w:vAlign w:val="bottom"/>
          </w:tcPr>
          <w:p>
            <w:pPr>
              <w:spacing w:after="0"/>
              <w:rPr>
                <w:sz w:val="1"/>
                <w:szCs w:val="1"/>
                <w:color w:val="auto"/>
              </w:rPr>
            </w:pPr>
          </w:p>
        </w:tc>
      </w:tr>
      <w:tr>
        <w:trPr>
          <w:trHeight w:val="237"/>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7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process. We completed four cGMP batches of clinical drug products in 2022.</w:t>
            </w:r>
          </w:p>
        </w:tc>
        <w:tc>
          <w:tcPr>
            <w:tcW w:w="0" w:type="dxa"/>
            <w:vAlign w:val="bottom"/>
          </w:tcPr>
          <w:p>
            <w:pPr>
              <w:spacing w:after="0"/>
              <w:rPr>
                <w:sz w:val="1"/>
                <w:szCs w:val="1"/>
                <w:color w:val="auto"/>
              </w:rPr>
            </w:pPr>
          </w:p>
        </w:tc>
      </w:tr>
      <w:tr>
        <w:trPr>
          <w:trHeight w:val="338"/>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Financial Strength</w:t>
            </w:r>
          </w:p>
        </w:tc>
        <w:tc>
          <w:tcPr>
            <w:tcW w:w="7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 ended 2022 with over $550 million in cash, cash equivalents and marketable securities.</w:t>
            </w:r>
          </w:p>
        </w:tc>
        <w:tc>
          <w:tcPr>
            <w:tcW w:w="0" w:type="dxa"/>
            <w:vAlign w:val="bottom"/>
          </w:tcPr>
          <w:p>
            <w:pPr>
              <w:spacing w:after="0"/>
              <w:rPr>
                <w:sz w:val="1"/>
                <w:szCs w:val="1"/>
                <w:color w:val="auto"/>
              </w:rPr>
            </w:pPr>
          </w:p>
        </w:tc>
      </w:tr>
      <w:tr>
        <w:trPr>
          <w:trHeight w:val="338"/>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7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560" w:type="dxa"/>
            <w:vAlign w:val="bottom"/>
          </w:tcPr>
          <w:p>
            <w:pPr>
              <w:spacing w:after="0"/>
              <w:rPr>
                <w:sz w:val="24"/>
                <w:szCs w:val="24"/>
                <w:color w:val="auto"/>
              </w:rPr>
            </w:pPr>
          </w:p>
        </w:tc>
        <w:tc>
          <w:tcPr>
            <w:tcW w:w="7680" w:type="dxa"/>
            <w:vAlign w:val="bottom"/>
          </w:tcPr>
          <w:p>
            <w:pPr>
              <w:ind w:left="19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ind w:left="76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The rapidly growing gene therapy industry has created a competitive recruitment and retention market for strong talent. It is our goal to ensure that we have the most skilled, innovative and resourceful executives on our leadership team. We foster an environment at REGENXBIO that will attract and retain top talent, and our executive compensation program is designed to support those objectives. Our program is structured around the following philosophy and objectives: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448"/>
        </w:trPr>
        <w:tc>
          <w:tcPr>
            <w:tcW w:w="35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Attract, Motivate and Retain Highly</w:t>
            </w: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Our compensation program is designed to attract, motivate and retain highly experienced individuals</w:t>
            </w:r>
          </w:p>
        </w:tc>
      </w:tr>
      <w:tr>
        <w:trPr>
          <w:trHeight w:val="230"/>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Qualified Executives</w:t>
            </w: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who are recognized as best-in-class.</w:t>
            </w:r>
          </w:p>
        </w:tc>
      </w:tr>
      <w:tr>
        <w:trPr>
          <w:trHeight w:val="334"/>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We believe we provide a total compensation package that is competitive with our peer group.</w:t>
            </w:r>
          </w:p>
        </w:tc>
      </w:tr>
      <w:tr>
        <w:trPr>
          <w:trHeight w:val="428"/>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Align the Interests of Executives with the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Our compensation program is designed to align the compensation realized by our executives with</w:t>
            </w:r>
          </w:p>
        </w:tc>
      </w:tr>
      <w:tr>
        <w:trPr>
          <w:trHeight w:val="230"/>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Interests of Stockholders</w:t>
            </w: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value realized by our stockholders.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  We provide our executives with equity accumulation opportunities, which typically include an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equity grant upon joining the Company. This is intended to ensure the alignment of the interests of</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each new executive with the interests of our stockholders. A significant portion of our NEOs’ total</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compensation in 2022 was based on stock options and RSUs.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  Our stock options generally vest over a four-year period, with 25% of the shares vesting after 12</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months from the date of grant and the balance vesting in equal monthly installments over the 36</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months thereafter, provided that the optionee provides continuous service to the Company.</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3"/>
              </w:rPr>
              <w:t>•  Our RSUs generally vest over a four-year period, with 25% of the shares vesting on each of the first,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second, third and fourth anniversaries of the first day of the month in which the RSU was granted,</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provided that the recipient provides continuous service to the Company.</w:t>
            </w:r>
          </w:p>
        </w:tc>
      </w:tr>
      <w:tr>
        <w:trPr>
          <w:trHeight w:val="431"/>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Pay for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Our compensation program is designed to reward our executives for attaining pre-established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business and individual goals. The attainment of these goals requires each executive to dedicate time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effort to the Company and use skills and experience to maximize stockholder value.</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  A significant portion of our executives’ compensation is based on Company and individual</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performance, and the compensation program is designed to reward both short-term and long-term</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  Short-term performance of our executives is primarily rewarded through annual cash incentive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awards and bonuses, including special bonuses in the event of extraordinary achievements, that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reflect the achievement of corporate and individual goals. Long-term performance of our executives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is primarily rewarded through stock option awards and RSU awards that become exercisable with</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continued service to the Company and whose value is tied to the price of our common stock.</w:t>
            </w:r>
          </w:p>
        </w:tc>
      </w:tr>
      <w:tr>
        <w:trPr>
          <w:trHeight w:val="431"/>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w w:val="98"/>
              </w:rPr>
              <w:t>Use Variable, Performance-Based and At-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As shown in the following charts, our compensation program is designed such that a significant</w:t>
            </w:r>
          </w:p>
        </w:tc>
      </w:tr>
      <w:tr>
        <w:trPr>
          <w:trHeight w:val="216"/>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w w:val="99"/>
              </w:rPr>
              <w:t>Risk Compensation to Reward Executives</w:t>
            </w: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portion of executive compensation is based on variable, performance-based and at-risk</w:t>
            </w:r>
          </w:p>
        </w:tc>
      </w:tr>
      <w:tr>
        <w:trPr>
          <w:trHeight w:val="230"/>
        </w:trPr>
        <w:tc>
          <w:tcPr>
            <w:tcW w:w="35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for Meeting Strategic Objectives</w:t>
            </w: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compensation, such as annual cash incentive awards, stock option awards and RSU awards.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  We believe this mix of compensation best aligns the interests of our executives with those of our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stockholders and contributes to both the achievement of short-term goals and the advancement of</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our long-term strategy.</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In 2022, 88.4% of our President and CEO’s total compensation was variable, performance-based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and at-risk and 74.4% of our other NEOs’ total compensation was variable, performance-based and</w:t>
            </w:r>
          </w:p>
        </w:tc>
      </w:tr>
      <w:tr>
        <w:trPr>
          <w:trHeight w:val="237"/>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at-risk.</w:t>
            </w:r>
          </w:p>
        </w:tc>
      </w:tr>
      <w:tr>
        <w:trPr>
          <w:trHeight w:val="64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60" w:type="dxa"/>
            <w:vAlign w:val="bottom"/>
          </w:tcPr>
          <w:p>
            <w:pPr>
              <w:ind w:left="1760"/>
              <w:spacing w:after="0"/>
              <w:rPr>
                <w:sz w:val="20"/>
                <w:szCs w:val="20"/>
                <w:color w:val="auto"/>
              </w:rPr>
            </w:pPr>
            <w:r>
              <w:rPr>
                <w:rFonts w:ascii="Arial" w:cs="Arial" w:eastAsia="Arial" w:hAnsi="Arial"/>
                <w:sz w:val="18"/>
                <w:szCs w:val="18"/>
                <w:color w:val="auto"/>
              </w:rPr>
              <w:t>27</w:t>
            </w:r>
          </w:p>
        </w:tc>
      </w:tr>
      <w:tr>
        <w:trPr>
          <w:trHeight w:val="115"/>
        </w:trPr>
        <w:tc>
          <w:tcPr>
            <w:tcW w:w="3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ind w:left="760"/>
        <w:spacing w:after="0"/>
        <w:rPr>
          <w:sz w:val="20"/>
          <w:szCs w:val="20"/>
          <w:color w:val="auto"/>
        </w:rPr>
      </w:pPr>
      <w:r>
        <w:rPr>
          <w:rFonts w:ascii="Arial" w:cs="Arial" w:eastAsia="Arial" w:hAnsi="Arial"/>
          <w:sz w:val="18"/>
          <w:szCs w:val="18"/>
          <w:b w:val="1"/>
          <w:bCs w:val="1"/>
          <w:i w:val="1"/>
          <w:iCs w:val="1"/>
          <w:color w:val="auto"/>
        </w:rPr>
        <w:t>Oversight and Operation of our Executive Compensation Program</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executive compensation program demonstrates a commitment to a robust process and strong corporate governance practices, as evidenced by the following:</w:t>
      </w:r>
    </w:p>
    <w:p>
      <w:pPr>
        <w:sectPr>
          <w:pgSz w:w="11900" w:h="16838" w:orient="portrait"/>
          <w:cols w:equalWidth="0" w:num="1">
            <w:col w:w="11020"/>
          </w:cols>
          <w:pgMar w:left="320" w:top="166" w:right="55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What We Do</w:t>
      </w:r>
      <w:r>
        <w:rPr>
          <w:rFonts w:ascii="Arial" w:cs="Arial" w:eastAsia="Arial" w:hAnsi="Arial"/>
          <w:sz w:val="18"/>
          <w:szCs w:val="18"/>
          <w:color w:val="auto"/>
        </w:rPr>
        <w:t>:</w:t>
      </w:r>
    </w:p>
    <w:p>
      <w:pPr>
        <w:spacing w:after="0" w:line="201" w:lineRule="exact"/>
        <w:rPr>
          <w:sz w:val="20"/>
          <w:szCs w:val="20"/>
          <w:color w:val="auto"/>
        </w:rPr>
      </w:pPr>
    </w:p>
    <w:p>
      <w:pPr>
        <w:ind w:left="460" w:hanging="28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Periodic review of performance metrics</w:t>
      </w:r>
      <w:r>
        <w:rPr>
          <w:rFonts w:ascii="Arial" w:cs="Arial" w:eastAsia="Arial" w:hAnsi="Arial"/>
          <w:sz w:val="18"/>
          <w:szCs w:val="18"/>
          <w:color w:val="auto"/>
        </w:rPr>
        <w:t>:</w:t>
      </w:r>
    </w:p>
    <w:p>
      <w:pPr>
        <w:spacing w:after="0" w:line="202"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Our Compensation Committee establishes the performance metrics that govern incentive compensation near the beginning of each year and reviews achievement of these metrics shortly following the end of each year.</w:t>
      </w:r>
    </w:p>
    <w:p>
      <w:pPr>
        <w:spacing w:after="0" w:line="173" w:lineRule="exact"/>
        <w:rPr>
          <w:sz w:val="20"/>
          <w:szCs w:val="20"/>
          <w:color w:val="auto"/>
        </w:rPr>
      </w:pPr>
    </w:p>
    <w:p>
      <w:pPr>
        <w:ind w:left="460" w:hanging="284"/>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Maintain an industry-specific peer group for benchmarking pay</w:t>
      </w:r>
      <w:r>
        <w:rPr>
          <w:rFonts w:ascii="Arial" w:cs="Arial" w:eastAsia="Arial" w:hAnsi="Arial"/>
          <w:sz w:val="17"/>
          <w:szCs w:val="17"/>
          <w:color w:val="auto"/>
        </w:rPr>
        <w:t>:</w:t>
      </w:r>
    </w:p>
    <w:p>
      <w:pPr>
        <w:spacing w:after="0" w:line="204" w:lineRule="exact"/>
        <w:rPr>
          <w:sz w:val="20"/>
          <w:szCs w:val="20"/>
          <w:color w:val="auto"/>
        </w:rPr>
      </w:pPr>
    </w:p>
    <w:p>
      <w:pPr>
        <w:ind w:left="180" w:right="380"/>
        <w:spacing w:after="0" w:line="263" w:lineRule="auto"/>
        <w:rPr>
          <w:sz w:val="20"/>
          <w:szCs w:val="20"/>
          <w:color w:val="auto"/>
        </w:rPr>
      </w:pPr>
      <w:r>
        <w:rPr>
          <w:rFonts w:ascii="Arial" w:cs="Arial" w:eastAsia="Arial" w:hAnsi="Arial"/>
          <w:sz w:val="18"/>
          <w:szCs w:val="18"/>
          <w:color w:val="auto"/>
        </w:rPr>
        <w:t>Our Compensation Committee periodically selects publicly traded biopharmaceutical companies to comprise our peer group for benchmarking compensation.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We Don’t Do</w:t>
      </w:r>
      <w:r>
        <w:rPr>
          <w:rFonts w:ascii="Arial" w:cs="Arial" w:eastAsia="Arial" w:hAnsi="Arial"/>
          <w:sz w:val="18"/>
          <w:szCs w:val="18"/>
          <w:color w:val="auto"/>
        </w:rPr>
        <w:t>:</w:t>
      </w:r>
    </w:p>
    <w:p>
      <w:pPr>
        <w:spacing w:after="0" w:line="201" w:lineRule="exact"/>
        <w:rPr>
          <w:sz w:val="20"/>
          <w:szCs w:val="20"/>
          <w:color w:val="auto"/>
        </w:rPr>
      </w:pPr>
    </w:p>
    <w:p>
      <w:pPr>
        <w:ind w:left="320" w:hanging="248"/>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Provide uncapped cash incentive payouts</w:t>
      </w:r>
      <w:r>
        <w:rPr>
          <w:rFonts w:ascii="Arial" w:cs="Arial" w:eastAsia="Arial" w:hAnsi="Arial"/>
          <w:sz w:val="18"/>
          <w:szCs w:val="18"/>
          <w:color w:val="auto"/>
        </w:rPr>
        <w:t>:</w:t>
      </w:r>
    </w:p>
    <w:p>
      <w:pPr>
        <w:spacing w:after="0" w:line="202" w:lineRule="exact"/>
        <w:rPr>
          <w:sz w:val="20"/>
          <w:szCs w:val="20"/>
          <w:color w:val="auto"/>
        </w:rPr>
      </w:pPr>
    </w:p>
    <w:p>
      <w:pPr>
        <w:ind w:left="80" w:right="40"/>
        <w:spacing w:after="0" w:line="259" w:lineRule="auto"/>
        <w:rPr>
          <w:sz w:val="20"/>
          <w:szCs w:val="20"/>
          <w:color w:val="auto"/>
        </w:rPr>
      </w:pPr>
      <w:r>
        <w:rPr>
          <w:rFonts w:ascii="Arial" w:cs="Arial" w:eastAsia="Arial" w:hAnsi="Arial"/>
          <w:sz w:val="18"/>
          <w:szCs w:val="18"/>
          <w:color w:val="auto"/>
        </w:rPr>
        <w:t>Payouts under our annual short-term cash incentive program are capped for both corporate and individual performance, which discourages excessive risk-taking while encouraging the achievement of goals in the short-term.</w:t>
      </w:r>
    </w:p>
    <w:p>
      <w:pPr>
        <w:spacing w:after="0" w:line="162" w:lineRule="exact"/>
        <w:rPr>
          <w:sz w:val="20"/>
          <w:szCs w:val="20"/>
          <w:color w:val="auto"/>
        </w:rPr>
      </w:pPr>
    </w:p>
    <w:p>
      <w:pPr>
        <w:ind w:left="320" w:hanging="248"/>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Provide excessive benefits or perquisites</w:t>
      </w:r>
      <w:r>
        <w:rPr>
          <w:rFonts w:ascii="Arial" w:cs="Arial" w:eastAsia="Arial" w:hAnsi="Arial"/>
          <w:sz w:val="18"/>
          <w:szCs w:val="18"/>
          <w:color w:val="auto"/>
        </w:rPr>
        <w:t>:</w:t>
      </w: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Our NEOs are not entitled to any excessive benefits or perquisites.</w:t>
      </w:r>
    </w:p>
    <w:p>
      <w:pPr>
        <w:spacing w:after="0" w:line="655" w:lineRule="exact"/>
        <w:rPr>
          <w:sz w:val="20"/>
          <w:szCs w:val="20"/>
          <w:color w:val="auto"/>
        </w:rPr>
      </w:pPr>
    </w:p>
    <w:p>
      <w:pPr>
        <w:sectPr>
          <w:pgSz w:w="11900" w:h="16838" w:orient="portrait"/>
          <w:cols w:equalWidth="0" w:num="2">
            <w:col w:w="5320" w:space="400"/>
            <w:col w:w="5300"/>
          </w:cols>
          <w:pgMar w:left="320" w:top="166" w:right="559" w:bottom="1440" w:gutter="0" w:footer="0" w:header="0"/>
          <w:type w:val="continuous"/>
        </w:sectPr>
      </w:pPr>
    </w:p>
    <w:p>
      <w:pPr>
        <w:spacing w:after="0" w:line="11" w:lineRule="exact"/>
        <w:rPr>
          <w:sz w:val="20"/>
          <w:szCs w:val="20"/>
          <w:color w:val="auto"/>
        </w:rPr>
      </w:pPr>
    </w:p>
    <w:p>
      <w:pPr>
        <w:ind w:left="180" w:right="380" w:hanging="4"/>
        <w:spacing w:after="0" w:line="239" w:lineRule="auto"/>
        <w:tabs>
          <w:tab w:leader="none" w:pos="46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Deliver executive compensation primarily through performance-based pay</w:t>
      </w:r>
      <w:r>
        <w:rPr>
          <w:rFonts w:ascii="Arial" w:cs="Arial" w:eastAsia="Arial" w:hAnsi="Arial"/>
          <w:sz w:val="18"/>
          <w:szCs w:val="18"/>
          <w:color w:val="auto"/>
        </w:rPr>
        <w:t>:</w:t>
      </w:r>
    </w:p>
    <w:p>
      <w:pPr>
        <w:spacing w:after="0" w:line="202" w:lineRule="exact"/>
        <w:rPr>
          <w:sz w:val="20"/>
          <w:szCs w:val="20"/>
          <w:color w:val="auto"/>
        </w:rPr>
      </w:pPr>
    </w:p>
    <w:p>
      <w:pPr>
        <w:ind w:left="180"/>
        <w:spacing w:after="0" w:line="290" w:lineRule="auto"/>
        <w:rPr>
          <w:sz w:val="20"/>
          <w:szCs w:val="20"/>
          <w:color w:val="auto"/>
        </w:rPr>
      </w:pPr>
      <w:r>
        <w:rPr>
          <w:rFonts w:ascii="Arial" w:cs="Arial" w:eastAsia="Arial" w:hAnsi="Arial"/>
          <w:sz w:val="16"/>
          <w:szCs w:val="16"/>
          <w:color w:val="auto"/>
        </w:rPr>
        <w:t>Our executive compensation program rewards performance in a variety of ways, with the aim of arriving at a balanced assessment for each executive based on his or her contribution to the Company’s strategic objectives. The program balances short-term pay opportunities through base salary and annual cash incentives with long-term incentive opportunities through equity awards, and the program balances fixed compensation through base salary with variable, performance-based compensation through annual cash incentives and equity awards.</w:t>
      </w:r>
    </w:p>
    <w:p>
      <w:pPr>
        <w:spacing w:after="0" w:line="141" w:lineRule="exact"/>
        <w:rPr>
          <w:sz w:val="20"/>
          <w:szCs w:val="20"/>
          <w:color w:val="auto"/>
        </w:rPr>
      </w:pPr>
    </w:p>
    <w:p>
      <w:pPr>
        <w:ind w:left="460" w:hanging="28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Set challenging cash incentive goals</w:t>
      </w:r>
      <w:r>
        <w:rPr>
          <w:rFonts w:ascii="Arial" w:cs="Arial" w:eastAsia="Arial" w:hAnsi="Arial"/>
          <w:sz w:val="18"/>
          <w:szCs w:val="18"/>
          <w:color w:val="auto"/>
        </w:rPr>
        <w:t>:</w:t>
      </w:r>
    </w:p>
    <w:p>
      <w:pPr>
        <w:spacing w:after="0" w:line="202" w:lineRule="exact"/>
        <w:rPr>
          <w:sz w:val="20"/>
          <w:szCs w:val="20"/>
          <w:color w:val="auto"/>
        </w:rPr>
      </w:pPr>
    </w:p>
    <w:p>
      <w:pPr>
        <w:ind w:left="180" w:right="200"/>
        <w:spacing w:after="0" w:line="263" w:lineRule="auto"/>
        <w:rPr>
          <w:sz w:val="20"/>
          <w:szCs w:val="20"/>
          <w:color w:val="auto"/>
        </w:rPr>
      </w:pPr>
      <w:r>
        <w:rPr>
          <w:rFonts w:ascii="Arial" w:cs="Arial" w:eastAsia="Arial" w:hAnsi="Arial"/>
          <w:sz w:val="18"/>
          <w:szCs w:val="18"/>
          <w:color w:val="auto"/>
        </w:rPr>
        <w:t>Our Compensation Committee sets objectives for determining annual short-term cash incentive payouts which are challenging but attainable, with attainment uncertain.</w:t>
      </w:r>
    </w:p>
    <w:p>
      <w:pPr>
        <w:spacing w:after="0" w:line="159" w:lineRule="exact"/>
        <w:rPr>
          <w:sz w:val="20"/>
          <w:szCs w:val="20"/>
          <w:color w:val="auto"/>
        </w:rPr>
      </w:pPr>
    </w:p>
    <w:p>
      <w:pPr>
        <w:ind w:left="460" w:hanging="284"/>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Use negative discretion in delivering performance-based pay</w:t>
      </w:r>
      <w:r>
        <w:rPr>
          <w:rFonts w:ascii="Arial" w:cs="Arial" w:eastAsia="Arial" w:hAnsi="Arial"/>
          <w:sz w:val="18"/>
          <w:szCs w:val="18"/>
          <w:color w:val="auto"/>
        </w:rPr>
        <w:t>:</w:t>
      </w:r>
    </w:p>
    <w:p>
      <w:pPr>
        <w:spacing w:after="0" w:line="202" w:lineRule="exact"/>
        <w:rPr>
          <w:sz w:val="20"/>
          <w:szCs w:val="20"/>
          <w:color w:val="auto"/>
        </w:rPr>
      </w:pPr>
    </w:p>
    <w:p>
      <w:pPr>
        <w:ind w:left="180" w:right="320"/>
        <w:spacing w:after="0" w:line="342" w:lineRule="auto"/>
        <w:rPr>
          <w:sz w:val="20"/>
          <w:szCs w:val="20"/>
          <w:color w:val="auto"/>
        </w:rPr>
      </w:pPr>
      <w:r>
        <w:rPr>
          <w:rFonts w:ascii="Arial" w:cs="Arial" w:eastAsia="Arial" w:hAnsi="Arial"/>
          <w:sz w:val="16"/>
          <w:szCs w:val="16"/>
          <w:color w:val="auto"/>
        </w:rPr>
        <w:t>Our Compensation Committee can exercise its discretion to reduce or eliminate cash incentive compensation payouts and equity awards.</w:t>
      </w:r>
    </w:p>
    <w:p>
      <w:pPr>
        <w:spacing w:after="0" w:line="99" w:lineRule="exact"/>
        <w:rPr>
          <w:sz w:val="20"/>
          <w:szCs w:val="20"/>
          <w:color w:val="auto"/>
        </w:rPr>
      </w:pPr>
    </w:p>
    <w:p>
      <w:pPr>
        <w:ind w:left="460" w:hanging="28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Use “double trigger” vesting in the event of a change in control</w:t>
      </w:r>
      <w:r>
        <w:rPr>
          <w:rFonts w:ascii="Arial" w:cs="Arial" w:eastAsia="Arial" w:hAnsi="Arial"/>
          <w:sz w:val="18"/>
          <w:szCs w:val="18"/>
          <w:color w:val="auto"/>
        </w:rPr>
        <w:t>:</w:t>
      </w:r>
    </w:p>
    <w:p>
      <w:pPr>
        <w:spacing w:after="0" w:line="202" w:lineRule="exact"/>
        <w:rPr>
          <w:sz w:val="20"/>
          <w:szCs w:val="20"/>
          <w:color w:val="auto"/>
        </w:rPr>
      </w:pPr>
    </w:p>
    <w:p>
      <w:pPr>
        <w:ind w:left="180" w:right="80"/>
        <w:spacing w:after="0" w:line="259" w:lineRule="auto"/>
        <w:rPr>
          <w:sz w:val="20"/>
          <w:szCs w:val="20"/>
          <w:color w:val="auto"/>
        </w:rPr>
      </w:pPr>
      <w:r>
        <w:rPr>
          <w:rFonts w:ascii="Arial" w:cs="Arial" w:eastAsia="Arial" w:hAnsi="Arial"/>
          <w:sz w:val="18"/>
          <w:szCs w:val="18"/>
          <w:color w:val="auto"/>
        </w:rPr>
        <w:t>For our executives, acceleration of stock option vesting, as well as other payments and benefits, will occur upon a “double trigger” in the event of a change in control (</w:t>
      </w:r>
      <w:r>
        <w:rPr>
          <w:rFonts w:ascii="Arial" w:cs="Arial" w:eastAsia="Arial" w:hAnsi="Arial"/>
          <w:sz w:val="18"/>
          <w:szCs w:val="18"/>
          <w:i w:val="1"/>
          <w:iCs w:val="1"/>
          <w:color w:val="auto"/>
        </w:rPr>
        <w:t>i.e.</w:t>
      </w:r>
      <w:r>
        <w:rPr>
          <w:rFonts w:ascii="Arial" w:cs="Arial" w:eastAsia="Arial" w:hAnsi="Arial"/>
          <w:sz w:val="18"/>
          <w:szCs w:val="18"/>
          <w:color w:val="auto"/>
        </w:rPr>
        <w:t>, termination without cause or for good reason following a change in control).</w:t>
      </w:r>
    </w:p>
    <w:p>
      <w:pPr>
        <w:spacing w:after="0" w:line="162" w:lineRule="exact"/>
        <w:rPr>
          <w:sz w:val="20"/>
          <w:szCs w:val="20"/>
          <w:color w:val="auto"/>
        </w:rPr>
      </w:pPr>
    </w:p>
    <w:p>
      <w:pPr>
        <w:ind w:left="460" w:hanging="28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Engage an independent compensation consultant</w:t>
      </w:r>
      <w:r>
        <w:rPr>
          <w:rFonts w:ascii="Arial" w:cs="Arial" w:eastAsia="Arial" w:hAnsi="Arial"/>
          <w:sz w:val="18"/>
          <w:szCs w:val="18"/>
          <w:color w:val="auto"/>
        </w:rPr>
        <w:t>:</w:t>
      </w:r>
    </w:p>
    <w:p>
      <w:pPr>
        <w:spacing w:after="0" w:line="202" w:lineRule="exact"/>
        <w:rPr>
          <w:sz w:val="20"/>
          <w:szCs w:val="20"/>
          <w:color w:val="auto"/>
        </w:rPr>
      </w:pPr>
    </w:p>
    <w:p>
      <w:pPr>
        <w:ind w:left="180" w:right="200"/>
        <w:spacing w:after="0" w:line="311" w:lineRule="auto"/>
        <w:rPr>
          <w:sz w:val="20"/>
          <w:szCs w:val="20"/>
          <w:color w:val="auto"/>
        </w:rPr>
      </w:pPr>
      <w:r>
        <w:rPr>
          <w:rFonts w:ascii="Arial" w:cs="Arial" w:eastAsia="Arial" w:hAnsi="Arial"/>
          <w:sz w:val="16"/>
          <w:szCs w:val="16"/>
          <w:color w:val="auto"/>
        </w:rPr>
        <w:t>Our outside compensation consultant is independent, reports directly to the Compensation Committee, advises on compensation levels and practices and conducts an annual review of compensation-related risk.</w:t>
      </w:r>
    </w:p>
    <w:p>
      <w:pPr>
        <w:spacing w:after="0" w:line="20" w:lineRule="exact"/>
        <w:rPr>
          <w:sz w:val="20"/>
          <w:szCs w:val="20"/>
          <w:color w:val="auto"/>
        </w:rPr>
      </w:pPr>
      <w:r>
        <w:rPr>
          <w:sz w:val="20"/>
          <w:szCs w:val="20"/>
          <w:color w:val="auto"/>
        </w:rPr>
        <w:br w:type="column"/>
      </w:r>
    </w:p>
    <w:p>
      <w:pPr>
        <w:ind w:left="248" w:hanging="248"/>
        <w:spacing w:after="0"/>
        <w:tabs>
          <w:tab w:leader="none" w:pos="24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Allow hedging, pledging or “short-sale” transactions</w:t>
      </w:r>
      <w:r>
        <w:rPr>
          <w:rFonts w:ascii="Arial" w:cs="Arial" w:eastAsia="Arial" w:hAnsi="Arial"/>
          <w:sz w:val="18"/>
          <w:szCs w:val="18"/>
          <w:color w:val="auto"/>
        </w:rPr>
        <w:t>:</w:t>
      </w:r>
    </w:p>
    <w:p>
      <w:pPr>
        <w:spacing w:after="0" w:line="202" w:lineRule="exact"/>
        <w:rPr>
          <w:sz w:val="20"/>
          <w:szCs w:val="20"/>
          <w:color w:val="auto"/>
        </w:rPr>
      </w:pPr>
    </w:p>
    <w:p>
      <w:pPr>
        <w:ind w:left="8" w:right="40"/>
        <w:spacing w:after="0" w:line="257" w:lineRule="auto"/>
        <w:rPr>
          <w:sz w:val="20"/>
          <w:szCs w:val="20"/>
          <w:color w:val="auto"/>
        </w:rPr>
      </w:pPr>
      <w:r>
        <w:rPr>
          <w:rFonts w:ascii="Arial" w:cs="Arial" w:eastAsia="Arial" w:hAnsi="Arial"/>
          <w:sz w:val="18"/>
          <w:szCs w:val="18"/>
          <w:color w:val="auto"/>
        </w:rPr>
        <w:t>We prohibit directors, officers, employees and certain other individuals from engaging in hedging transactions involving the Company’s securities, “short sales” of the Company’s securities (sales of securities not already owned) and pledging of any Company securities without the prior approval of the Company.</w:t>
      </w:r>
    </w:p>
    <w:p>
      <w:pPr>
        <w:spacing w:after="0" w:line="6233" w:lineRule="exact"/>
        <w:rPr>
          <w:sz w:val="20"/>
          <w:szCs w:val="20"/>
          <w:color w:val="auto"/>
        </w:rPr>
      </w:pPr>
    </w:p>
    <w:p>
      <w:pPr>
        <w:sectPr>
          <w:pgSz w:w="11900" w:h="16838" w:orient="portrait"/>
          <w:cols w:equalWidth="0" w:num="2">
            <w:col w:w="5500" w:space="292"/>
            <w:col w:w="5228"/>
          </w:cols>
          <w:pgMar w:left="320" w:top="166" w:right="559" w:bottom="1440" w:gutter="0" w:footer="0" w:header="0"/>
          <w:type w:val="continuous"/>
        </w:sectPr>
      </w:pP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66" w:right="559" w:bottom="1440" w:gutter="0" w:footer="0" w:header="0"/>
          <w:type w:val="continuous"/>
        </w:sectPr>
      </w:pPr>
    </w:p>
    <w:bookmarkStart w:id="31" w:name="page32"/>
    <w:bookmarkEnd w:id="31"/>
    <w:p>
      <w:pPr>
        <w:ind w:right="160" w:firstLine="749"/>
        <w:spacing w:after="0" w:line="342" w:lineRule="auto"/>
        <w:rPr>
          <w:sz w:val="20"/>
          <w:szCs w:val="20"/>
          <w:color w:val="auto"/>
        </w:rPr>
      </w:pPr>
      <w:r>
        <w:rPr>
          <w:rFonts w:ascii="Arial" w:cs="Arial" w:eastAsia="Arial" w:hAnsi="Arial"/>
          <w:sz w:val="16"/>
          <w:szCs w:val="16"/>
          <w:color w:val="auto"/>
        </w:rPr>
        <w:t>Our Compensation Committee conducts a compensation risk assessment annually. The Compensation Committee believes that the mix of long-term equity incentives, short-term cash incentives and base salary appropriately balances both short-term and long-term performance goals.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Process of Determining Executive Compensation</w:t>
      </w:r>
    </w:p>
    <w:p>
      <w:pPr>
        <w:spacing w:after="0" w:line="225"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i w:val="1"/>
          <w:iCs w:val="1"/>
          <w:color w:val="auto"/>
        </w:rPr>
        <w:t>Role of the Compensation Committee</w:t>
      </w:r>
      <w:r>
        <w:rPr>
          <w:rFonts w:ascii="Arial" w:cs="Arial" w:eastAsia="Arial" w:hAnsi="Arial"/>
          <w:sz w:val="18"/>
          <w:szCs w:val="18"/>
          <w:color w:val="auto"/>
        </w:rPr>
        <w:t>. Our Compensation Committee has been delegated the authority by the Board to make determinations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all elements of compensation for our executives. The Compensation Committee engages an independent compensation consultant to advise it on the competitiveness of the executive compensation program, including an annual peer group review and annual analysis of all elements of executive compensation for each executive. Compensation packages for each executive are typically finalized and approved at the first Compensation Committee meeting each year.</w:t>
      </w:r>
    </w:p>
    <w:p>
      <w:pPr>
        <w:spacing w:after="0" w:line="188"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i w:val="1"/>
          <w:iCs w:val="1"/>
          <w:color w:val="auto"/>
        </w:rPr>
        <w:t>Role of Management</w:t>
      </w:r>
      <w:r>
        <w:rPr>
          <w:rFonts w:ascii="Arial" w:cs="Arial" w:eastAsia="Arial" w:hAnsi="Arial"/>
          <w:sz w:val="17"/>
          <w:szCs w:val="17"/>
          <w:color w:val="auto"/>
        </w:rPr>
        <w:t>. In making executive compensation decisions, our Compensation Committee may solicit input from management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with respect to individual and Company performance and results. The Compensation Committee receives recommendations and evaluations with respect to the compensation and performance of our executives from our President and CEO (except for his own compensation and performance). The EVP, Chief People Officer works with our compensation consultant to provide any internal or external data it requires. The Compensation Committee considered assessments from management when making 2022 compensation decisions.</w:t>
      </w:r>
    </w:p>
    <w:p>
      <w:pPr>
        <w:spacing w:after="0" w:line="176" w:lineRule="exact"/>
        <w:rPr>
          <w:sz w:val="20"/>
          <w:szCs w:val="20"/>
          <w:color w:val="auto"/>
        </w:rPr>
      </w:pPr>
    </w:p>
    <w:p>
      <w:pPr>
        <w:ind w:right="300" w:firstLine="749"/>
        <w:spacing w:after="0" w:line="296" w:lineRule="auto"/>
        <w:rPr>
          <w:sz w:val="20"/>
          <w:szCs w:val="20"/>
          <w:color w:val="auto"/>
        </w:rPr>
      </w:pPr>
      <w:r>
        <w:rPr>
          <w:rFonts w:ascii="Arial" w:cs="Arial" w:eastAsia="Arial" w:hAnsi="Arial"/>
          <w:sz w:val="16"/>
          <w:szCs w:val="16"/>
          <w:i w:val="1"/>
          <w:iCs w:val="1"/>
          <w:color w:val="auto"/>
        </w:rPr>
        <w:t>Role of the Compensation Consultant</w:t>
      </w:r>
      <w:r>
        <w:rPr>
          <w:rFonts w:ascii="Arial" w:cs="Arial" w:eastAsia="Arial" w:hAnsi="Arial"/>
          <w:sz w:val="16"/>
          <w:szCs w:val="16"/>
          <w:color w:val="auto"/>
        </w:rPr>
        <w:t>. Our Compensation Committee is authorized to select and retain its own independent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The Compensation Committee has retained Willis Towers Watson in this role since April 2019. The compensation consultant has annually conducted a comprehensive assessment of our executive compensation program and pay levels, advised the Compensation Committee on evolving best practices in executive compensation and provided benchmarking data and recommendations. The Compensation Committee conducted an evaluation of Willis Towers Watson and concluded that the engagement did not raise any conflict of interest.</w:t>
      </w:r>
    </w:p>
    <w:p>
      <w:pPr>
        <w:spacing w:after="0" w:line="16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i w:val="1"/>
          <w:iCs w:val="1"/>
          <w:color w:val="auto"/>
        </w:rPr>
        <w:t>Peer Group Data</w:t>
      </w:r>
      <w:r>
        <w:rPr>
          <w:rFonts w:ascii="Arial" w:cs="Arial" w:eastAsia="Arial" w:hAnsi="Arial"/>
          <w:sz w:val="18"/>
          <w:szCs w:val="18"/>
          <w:color w:val="auto"/>
        </w:rPr>
        <w:t>. Our Compensation Committee reviews our peer group annually to ensure it remains relevant and current.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upon advice received from its independent compensation consultant, selected the 15 companies that comprised our peer group for determining 2022 compensation through a screening process that considered publicly traded biopharmaceutical companies similar to us in headcount and market capitalization.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2022 peer group companies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00" w:type="dxa"/>
            <w:vAlign w:val="bottom"/>
            <w:shd w:val="clear" w:color="auto" w:fill="DEEAF6"/>
          </w:tcPr>
          <w:p>
            <w:pPr>
              <w:ind w:left="20"/>
              <w:spacing w:after="0"/>
              <w:rPr>
                <w:sz w:val="20"/>
                <w:szCs w:val="20"/>
                <w:color w:val="auto"/>
              </w:rPr>
            </w:pPr>
            <w:r>
              <w:rPr>
                <w:rFonts w:ascii="Arial" w:cs="Arial" w:eastAsia="Arial" w:hAnsi="Arial"/>
                <w:sz w:val="18"/>
                <w:szCs w:val="18"/>
                <w:color w:val="auto"/>
              </w:rPr>
              <w:t>Acceleron Pharma Inc.</w:t>
            </w:r>
          </w:p>
        </w:tc>
        <w:tc>
          <w:tcPr>
            <w:tcW w:w="3420" w:type="dxa"/>
            <w:vAlign w:val="bottom"/>
            <w:shd w:val="clear" w:color="auto" w:fill="DEEAF6"/>
          </w:tcPr>
          <w:p>
            <w:pPr>
              <w:ind w:left="680"/>
              <w:spacing w:after="0"/>
              <w:rPr>
                <w:sz w:val="20"/>
                <w:szCs w:val="20"/>
                <w:color w:val="auto"/>
              </w:rPr>
            </w:pPr>
            <w:r>
              <w:rPr>
                <w:rFonts w:ascii="Arial" w:cs="Arial" w:eastAsia="Arial" w:hAnsi="Arial"/>
                <w:sz w:val="18"/>
                <w:szCs w:val="18"/>
                <w:color w:val="auto"/>
              </w:rPr>
              <w:t>Denali Therapeutics Inc.</w:t>
            </w:r>
          </w:p>
        </w:tc>
        <w:tc>
          <w:tcPr>
            <w:tcW w:w="4720" w:type="dxa"/>
            <w:vAlign w:val="bottom"/>
            <w:shd w:val="clear" w:color="auto" w:fill="DEEAF6"/>
          </w:tcPr>
          <w:p>
            <w:pPr>
              <w:ind w:left="880"/>
              <w:spacing w:after="0"/>
              <w:rPr>
                <w:sz w:val="20"/>
                <w:szCs w:val="20"/>
                <w:color w:val="auto"/>
              </w:rPr>
            </w:pPr>
            <w:r>
              <w:rPr>
                <w:rFonts w:ascii="Arial" w:cs="Arial" w:eastAsia="Arial" w:hAnsi="Arial"/>
                <w:sz w:val="18"/>
                <w:szCs w:val="18"/>
                <w:color w:val="auto"/>
              </w:rPr>
              <w:t>MeiraGTx Holdings plc</w:t>
            </w:r>
          </w:p>
        </w:tc>
      </w:tr>
      <w:tr>
        <w:trPr>
          <w:trHeight w:val="237"/>
        </w:trPr>
        <w:tc>
          <w:tcPr>
            <w:tcW w:w="3100" w:type="dxa"/>
            <w:vAlign w:val="bottom"/>
          </w:tcPr>
          <w:p>
            <w:pPr>
              <w:ind w:left="20"/>
              <w:spacing w:after="0"/>
              <w:rPr>
                <w:sz w:val="20"/>
                <w:szCs w:val="20"/>
                <w:color w:val="auto"/>
              </w:rPr>
            </w:pPr>
            <w:r>
              <w:rPr>
                <w:rFonts w:ascii="Arial" w:cs="Arial" w:eastAsia="Arial" w:hAnsi="Arial"/>
                <w:sz w:val="18"/>
                <w:szCs w:val="18"/>
                <w:color w:val="auto"/>
              </w:rPr>
              <w:t>bluebird bio, Inc.</w:t>
            </w:r>
          </w:p>
        </w:tc>
        <w:tc>
          <w:tcPr>
            <w:tcW w:w="3420" w:type="dxa"/>
            <w:vAlign w:val="bottom"/>
          </w:tcPr>
          <w:p>
            <w:pPr>
              <w:ind w:left="680"/>
              <w:spacing w:after="0"/>
              <w:rPr>
                <w:sz w:val="20"/>
                <w:szCs w:val="20"/>
                <w:color w:val="auto"/>
              </w:rPr>
            </w:pPr>
            <w:r>
              <w:rPr>
                <w:rFonts w:ascii="Arial" w:cs="Arial" w:eastAsia="Arial" w:hAnsi="Arial"/>
                <w:sz w:val="18"/>
                <w:szCs w:val="18"/>
                <w:color w:val="auto"/>
              </w:rPr>
              <w:t>Editas Medicine, Inc.</w:t>
            </w:r>
          </w:p>
        </w:tc>
        <w:tc>
          <w:tcPr>
            <w:tcW w:w="4720" w:type="dxa"/>
            <w:vAlign w:val="bottom"/>
          </w:tcPr>
          <w:p>
            <w:pPr>
              <w:ind w:left="880"/>
              <w:spacing w:after="0"/>
              <w:rPr>
                <w:sz w:val="20"/>
                <w:szCs w:val="20"/>
                <w:color w:val="auto"/>
              </w:rPr>
            </w:pPr>
            <w:r>
              <w:rPr>
                <w:rFonts w:ascii="Arial" w:cs="Arial" w:eastAsia="Arial" w:hAnsi="Arial"/>
                <w:sz w:val="18"/>
                <w:szCs w:val="18"/>
                <w:color w:val="auto"/>
              </w:rPr>
              <w:t>PTC Therapeutics, Inc.</w:t>
            </w:r>
          </w:p>
        </w:tc>
      </w:tr>
      <w:tr>
        <w:trPr>
          <w:trHeight w:val="249"/>
        </w:trPr>
        <w:tc>
          <w:tcPr>
            <w:tcW w:w="3100" w:type="dxa"/>
            <w:vAlign w:val="bottom"/>
            <w:shd w:val="clear" w:color="auto" w:fill="DEEAF6"/>
          </w:tcPr>
          <w:p>
            <w:pPr>
              <w:ind w:left="20"/>
              <w:spacing w:after="0"/>
              <w:rPr>
                <w:sz w:val="20"/>
                <w:szCs w:val="20"/>
                <w:color w:val="auto"/>
              </w:rPr>
            </w:pPr>
            <w:r>
              <w:rPr>
                <w:rFonts w:ascii="Arial" w:cs="Arial" w:eastAsia="Arial" w:hAnsi="Arial"/>
                <w:sz w:val="18"/>
                <w:szCs w:val="18"/>
                <w:color w:val="auto"/>
              </w:rPr>
              <w:t>Blueprint Medicines Corporation</w:t>
            </w:r>
          </w:p>
        </w:tc>
        <w:tc>
          <w:tcPr>
            <w:tcW w:w="3420" w:type="dxa"/>
            <w:vAlign w:val="bottom"/>
            <w:shd w:val="clear" w:color="auto" w:fill="DEEAF6"/>
          </w:tcPr>
          <w:p>
            <w:pPr>
              <w:ind w:left="680"/>
              <w:spacing w:after="0"/>
              <w:rPr>
                <w:sz w:val="20"/>
                <w:szCs w:val="20"/>
                <w:color w:val="auto"/>
              </w:rPr>
            </w:pPr>
            <w:r>
              <w:rPr>
                <w:rFonts w:ascii="Arial" w:cs="Arial" w:eastAsia="Arial" w:hAnsi="Arial"/>
                <w:sz w:val="18"/>
                <w:szCs w:val="18"/>
                <w:color w:val="auto"/>
              </w:rPr>
              <w:t>Epizyme, Inc.</w:t>
            </w:r>
          </w:p>
        </w:tc>
        <w:tc>
          <w:tcPr>
            <w:tcW w:w="4720" w:type="dxa"/>
            <w:vAlign w:val="bottom"/>
            <w:shd w:val="clear" w:color="auto" w:fill="DEEAF6"/>
          </w:tcPr>
          <w:p>
            <w:pPr>
              <w:ind w:left="880"/>
              <w:spacing w:after="0"/>
              <w:rPr>
                <w:sz w:val="20"/>
                <w:szCs w:val="20"/>
                <w:color w:val="auto"/>
              </w:rPr>
            </w:pPr>
            <w:r>
              <w:rPr>
                <w:rFonts w:ascii="Arial" w:cs="Arial" w:eastAsia="Arial" w:hAnsi="Arial"/>
                <w:sz w:val="18"/>
                <w:szCs w:val="18"/>
                <w:color w:val="auto"/>
              </w:rPr>
              <w:t>Sangamo Therapeutics, Inc.</w:t>
            </w:r>
          </w:p>
        </w:tc>
      </w:tr>
      <w:tr>
        <w:trPr>
          <w:trHeight w:val="237"/>
        </w:trPr>
        <w:tc>
          <w:tcPr>
            <w:tcW w:w="3100" w:type="dxa"/>
            <w:vAlign w:val="bottom"/>
          </w:tcPr>
          <w:p>
            <w:pPr>
              <w:ind w:left="20"/>
              <w:spacing w:after="0"/>
              <w:rPr>
                <w:sz w:val="20"/>
                <w:szCs w:val="20"/>
                <w:color w:val="auto"/>
              </w:rPr>
            </w:pPr>
            <w:r>
              <w:rPr>
                <w:rFonts w:ascii="Arial" w:cs="Arial" w:eastAsia="Arial" w:hAnsi="Arial"/>
                <w:sz w:val="18"/>
                <w:szCs w:val="18"/>
                <w:color w:val="auto"/>
              </w:rPr>
              <w:t>ChemoCentryx, Inc.</w:t>
            </w:r>
          </w:p>
        </w:tc>
        <w:tc>
          <w:tcPr>
            <w:tcW w:w="3420" w:type="dxa"/>
            <w:vAlign w:val="bottom"/>
          </w:tcPr>
          <w:p>
            <w:pPr>
              <w:ind w:left="680"/>
              <w:spacing w:after="0"/>
              <w:rPr>
                <w:sz w:val="20"/>
                <w:szCs w:val="20"/>
                <w:color w:val="auto"/>
              </w:rPr>
            </w:pPr>
            <w:r>
              <w:rPr>
                <w:rFonts w:ascii="Arial" w:cs="Arial" w:eastAsia="Arial" w:hAnsi="Arial"/>
                <w:sz w:val="18"/>
                <w:szCs w:val="18"/>
                <w:color w:val="auto"/>
              </w:rPr>
              <w:t>Intellia Therapeutics, Inc.</w:t>
            </w:r>
          </w:p>
        </w:tc>
        <w:tc>
          <w:tcPr>
            <w:tcW w:w="4720" w:type="dxa"/>
            <w:vAlign w:val="bottom"/>
          </w:tcPr>
          <w:p>
            <w:pPr>
              <w:ind w:left="880"/>
              <w:spacing w:after="0"/>
              <w:rPr>
                <w:sz w:val="20"/>
                <w:szCs w:val="20"/>
                <w:color w:val="auto"/>
              </w:rPr>
            </w:pPr>
            <w:r>
              <w:rPr>
                <w:rFonts w:ascii="Arial" w:cs="Arial" w:eastAsia="Arial" w:hAnsi="Arial"/>
                <w:sz w:val="18"/>
                <w:szCs w:val="18"/>
                <w:color w:val="auto"/>
              </w:rPr>
              <w:t>Supernus Pharmaceuticals, Inc.</w:t>
            </w:r>
          </w:p>
        </w:tc>
      </w:tr>
      <w:tr>
        <w:trPr>
          <w:trHeight w:val="249"/>
        </w:trPr>
        <w:tc>
          <w:tcPr>
            <w:tcW w:w="3100" w:type="dxa"/>
            <w:vAlign w:val="bottom"/>
            <w:shd w:val="clear" w:color="auto" w:fill="DEEAF6"/>
          </w:tcPr>
          <w:p>
            <w:pPr>
              <w:ind w:left="20"/>
              <w:spacing w:after="0"/>
              <w:rPr>
                <w:sz w:val="20"/>
                <w:szCs w:val="20"/>
                <w:color w:val="auto"/>
              </w:rPr>
            </w:pPr>
            <w:r>
              <w:rPr>
                <w:rFonts w:ascii="Arial" w:cs="Arial" w:eastAsia="Arial" w:hAnsi="Arial"/>
                <w:sz w:val="18"/>
                <w:szCs w:val="18"/>
                <w:color w:val="auto"/>
              </w:rPr>
              <w:t>CRISPR Therapeutics AG</w:t>
            </w:r>
          </w:p>
        </w:tc>
        <w:tc>
          <w:tcPr>
            <w:tcW w:w="3420" w:type="dxa"/>
            <w:vAlign w:val="bottom"/>
            <w:shd w:val="clear" w:color="auto" w:fill="DEEAF6"/>
          </w:tcPr>
          <w:p>
            <w:pPr>
              <w:ind w:left="680"/>
              <w:spacing w:after="0"/>
              <w:rPr>
                <w:sz w:val="20"/>
                <w:szCs w:val="20"/>
                <w:color w:val="auto"/>
              </w:rPr>
            </w:pPr>
            <w:r>
              <w:rPr>
                <w:rFonts w:ascii="Arial" w:cs="Arial" w:eastAsia="Arial" w:hAnsi="Arial"/>
                <w:sz w:val="18"/>
                <w:szCs w:val="18"/>
                <w:color w:val="auto"/>
              </w:rPr>
              <w:t>MacroGenics, Inc.</w:t>
            </w:r>
          </w:p>
        </w:tc>
        <w:tc>
          <w:tcPr>
            <w:tcW w:w="4720" w:type="dxa"/>
            <w:vAlign w:val="bottom"/>
            <w:shd w:val="clear" w:color="auto" w:fill="DEEAF6"/>
          </w:tcPr>
          <w:p>
            <w:pPr>
              <w:ind w:left="880"/>
              <w:spacing w:after="0"/>
              <w:rPr>
                <w:sz w:val="20"/>
                <w:szCs w:val="20"/>
                <w:color w:val="auto"/>
              </w:rPr>
            </w:pPr>
            <w:r>
              <w:rPr>
                <w:rFonts w:ascii="Arial" w:cs="Arial" w:eastAsia="Arial" w:hAnsi="Arial"/>
                <w:sz w:val="18"/>
                <w:szCs w:val="18"/>
                <w:color w:val="auto"/>
              </w:rPr>
              <w:t>uniQure N.V.</w:t>
            </w:r>
          </w:p>
        </w:tc>
      </w:tr>
    </w:tbl>
    <w:p>
      <w:pPr>
        <w:spacing w:after="0" w:line="229"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i w:val="1"/>
          <w:iCs w:val="1"/>
          <w:color w:val="auto"/>
        </w:rPr>
        <w:t>Survey Data</w:t>
      </w:r>
      <w:r>
        <w:rPr>
          <w:rFonts w:ascii="Arial" w:cs="Arial" w:eastAsia="Arial" w:hAnsi="Arial"/>
          <w:sz w:val="18"/>
          <w:szCs w:val="18"/>
          <w:color w:val="auto"/>
        </w:rPr>
        <w:t>. In addition to using peer group data, the Compensation Committee references survey data for comparable companies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Radford Global Life Sciences Survey to inform compensation decisions.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packages for our NEOs in 2022 included the following elements: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75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Purpose of Element</w:t>
            </w:r>
          </w:p>
        </w:tc>
      </w:tr>
      <w:tr>
        <w:trPr>
          <w:trHeight w:val="209"/>
        </w:trPr>
        <w:tc>
          <w:tcPr>
            <w:tcW w:w="37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Base salary</w:t>
            </w: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w w:val="93"/>
              </w:rPr>
              <w:t>Provide NEOs with a market competitive salary that recognizes experience, value and level</w:t>
            </w:r>
          </w:p>
        </w:tc>
      </w:tr>
      <w:tr>
        <w:trPr>
          <w:trHeight w:val="230"/>
        </w:trPr>
        <w:tc>
          <w:tcPr>
            <w:tcW w:w="3740" w:type="dxa"/>
            <w:vAlign w:val="bottom"/>
            <w:shd w:val="clear" w:color="auto" w:fill="DEEAF6"/>
          </w:tcPr>
          <w:p>
            <w:pPr>
              <w:spacing w:after="0"/>
              <w:rPr>
                <w:sz w:val="20"/>
                <w:szCs w:val="20"/>
                <w:color w:val="auto"/>
              </w:rPr>
            </w:pP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rPr>
              <w:t>of contribution to achieving the Company’s objectives</w:t>
            </w:r>
          </w:p>
        </w:tc>
      </w:tr>
      <w:tr>
        <w:trPr>
          <w:trHeight w:val="121"/>
        </w:trPr>
        <w:tc>
          <w:tcPr>
            <w:tcW w:w="3740" w:type="dxa"/>
            <w:vAlign w:val="bottom"/>
            <w:shd w:val="clear" w:color="auto" w:fill="DEEAF6"/>
          </w:tcPr>
          <w:p>
            <w:pPr>
              <w:spacing w:after="0"/>
              <w:rPr>
                <w:sz w:val="10"/>
                <w:szCs w:val="10"/>
                <w:color w:val="auto"/>
              </w:rPr>
            </w:pPr>
          </w:p>
        </w:tc>
        <w:tc>
          <w:tcPr>
            <w:tcW w:w="7500" w:type="dxa"/>
            <w:vAlign w:val="bottom"/>
            <w:shd w:val="clear" w:color="auto" w:fill="DEEAF6"/>
          </w:tcPr>
          <w:p>
            <w:pPr>
              <w:spacing w:after="0"/>
              <w:rPr>
                <w:sz w:val="10"/>
                <w:szCs w:val="10"/>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Annual short-term cash incentive</w:t>
            </w:r>
          </w:p>
        </w:tc>
        <w:tc>
          <w:tcPr>
            <w:tcW w:w="7500" w:type="dxa"/>
            <w:vAlign w:val="bottom"/>
          </w:tcPr>
          <w:p>
            <w:pPr>
              <w:ind w:left="700"/>
              <w:spacing w:after="0"/>
              <w:rPr>
                <w:sz w:val="20"/>
                <w:szCs w:val="20"/>
                <w:color w:val="auto"/>
              </w:rPr>
            </w:pPr>
            <w:r>
              <w:rPr>
                <w:rFonts w:ascii="Arial" w:cs="Arial" w:eastAsia="Arial" w:hAnsi="Arial"/>
                <w:sz w:val="18"/>
                <w:szCs w:val="18"/>
                <w:color w:val="auto"/>
              </w:rPr>
              <w:t>Motivate and reward NEOs for short-term individual and corporate performance</w:t>
            </w:r>
          </w:p>
        </w:tc>
      </w:tr>
      <w:tr>
        <w:trPr>
          <w:trHeight w:val="323"/>
        </w:trPr>
        <w:tc>
          <w:tcPr>
            <w:tcW w:w="3740" w:type="dxa"/>
            <w:vAlign w:val="bottom"/>
          </w:tcPr>
          <w:p>
            <w:pPr>
              <w:spacing w:after="0"/>
              <w:rPr>
                <w:sz w:val="24"/>
                <w:szCs w:val="24"/>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Attract and retain talented NEOs</w:t>
            </w:r>
          </w:p>
        </w:tc>
      </w:tr>
      <w:tr>
        <w:trPr>
          <w:trHeight w:val="122"/>
        </w:trPr>
        <w:tc>
          <w:tcPr>
            <w:tcW w:w="3740" w:type="dxa"/>
            <w:vAlign w:val="bottom"/>
          </w:tcPr>
          <w:p>
            <w:pPr>
              <w:spacing w:after="0"/>
              <w:rPr>
                <w:sz w:val="10"/>
                <w:szCs w:val="10"/>
                <w:color w:val="auto"/>
              </w:rPr>
            </w:pPr>
          </w:p>
        </w:tc>
        <w:tc>
          <w:tcPr>
            <w:tcW w:w="7500" w:type="dxa"/>
            <w:vAlign w:val="bottom"/>
          </w:tcPr>
          <w:p>
            <w:pPr>
              <w:spacing w:after="0"/>
              <w:rPr>
                <w:sz w:val="10"/>
                <w:szCs w:val="10"/>
                <w:color w:val="auto"/>
              </w:rPr>
            </w:pPr>
          </w:p>
        </w:tc>
      </w:tr>
      <w:tr>
        <w:trPr>
          <w:trHeight w:val="230"/>
        </w:trPr>
        <w:tc>
          <w:tcPr>
            <w:tcW w:w="37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Long-term equity incentives</w:t>
            </w: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rPr>
              <w:t>Motivate and reward NEOs for long-term corporate performance</w:t>
            </w:r>
          </w:p>
        </w:tc>
      </w:tr>
      <w:tr>
        <w:trPr>
          <w:trHeight w:val="323"/>
        </w:trPr>
        <w:tc>
          <w:tcPr>
            <w:tcW w:w="3740" w:type="dxa"/>
            <w:vAlign w:val="bottom"/>
            <w:shd w:val="clear" w:color="auto" w:fill="DEEAF6"/>
          </w:tcPr>
          <w:p>
            <w:pPr>
              <w:spacing w:after="0"/>
              <w:rPr>
                <w:sz w:val="24"/>
                <w:szCs w:val="24"/>
                <w:color w:val="auto"/>
              </w:rPr>
            </w:pP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rPr>
              <w:t>Align the interests of NEOs and stockholders, thereby enhancing stockholder value</w:t>
            </w:r>
          </w:p>
        </w:tc>
      </w:tr>
      <w:tr>
        <w:trPr>
          <w:trHeight w:val="324"/>
        </w:trPr>
        <w:tc>
          <w:tcPr>
            <w:tcW w:w="3740" w:type="dxa"/>
            <w:vAlign w:val="bottom"/>
            <w:shd w:val="clear" w:color="auto" w:fill="DEEAF6"/>
          </w:tcPr>
          <w:p>
            <w:pPr>
              <w:spacing w:after="0"/>
              <w:rPr>
                <w:sz w:val="24"/>
                <w:szCs w:val="24"/>
                <w:color w:val="auto"/>
              </w:rPr>
            </w:pP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rPr>
              <w:t>Attract and retain talented NEOs</w:t>
            </w:r>
          </w:p>
        </w:tc>
      </w:tr>
      <w:tr>
        <w:trPr>
          <w:trHeight w:val="122"/>
        </w:trPr>
        <w:tc>
          <w:tcPr>
            <w:tcW w:w="3740" w:type="dxa"/>
            <w:vAlign w:val="bottom"/>
            <w:shd w:val="clear" w:color="auto" w:fill="DEEAF6"/>
          </w:tcPr>
          <w:p>
            <w:pPr>
              <w:spacing w:after="0"/>
              <w:rPr>
                <w:sz w:val="10"/>
                <w:szCs w:val="10"/>
                <w:color w:val="auto"/>
              </w:rPr>
            </w:pPr>
          </w:p>
        </w:tc>
        <w:tc>
          <w:tcPr>
            <w:tcW w:w="7500" w:type="dxa"/>
            <w:vAlign w:val="bottom"/>
            <w:shd w:val="clear" w:color="auto" w:fill="DEEAF6"/>
          </w:tcPr>
          <w:p>
            <w:pPr>
              <w:spacing w:after="0"/>
              <w:rPr>
                <w:sz w:val="10"/>
                <w:szCs w:val="10"/>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8"/>
                <w:szCs w:val="18"/>
                <w:color w:val="auto"/>
              </w:rPr>
              <w:t>Health, welfare and retirement benefits</w:t>
            </w:r>
          </w:p>
        </w:tc>
        <w:tc>
          <w:tcPr>
            <w:tcW w:w="7500" w:type="dxa"/>
            <w:vAlign w:val="bottom"/>
          </w:tcPr>
          <w:p>
            <w:pPr>
              <w:ind w:left="700"/>
              <w:spacing w:after="0"/>
              <w:rPr>
                <w:sz w:val="20"/>
                <w:szCs w:val="20"/>
                <w:color w:val="auto"/>
              </w:rPr>
            </w:pPr>
            <w:r>
              <w:rPr>
                <w:rFonts w:ascii="Arial" w:cs="Arial" w:eastAsia="Arial" w:hAnsi="Arial"/>
                <w:sz w:val="18"/>
                <w:szCs w:val="18"/>
                <w:color w:val="auto"/>
                <w:w w:val="91"/>
              </w:rPr>
              <w:t>Provide competitive benefits to protect employees’ and their covered dependents’ health and</w:t>
            </w:r>
          </w:p>
        </w:tc>
      </w:tr>
      <w:tr>
        <w:trPr>
          <w:trHeight w:val="230"/>
        </w:trPr>
        <w:tc>
          <w:tcPr>
            <w:tcW w:w="3740" w:type="dxa"/>
            <w:vAlign w:val="bottom"/>
          </w:tcPr>
          <w:p>
            <w:pPr>
              <w:spacing w:after="0"/>
              <w:rPr>
                <w:sz w:val="20"/>
                <w:szCs w:val="20"/>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welfare, and to foster retirement savings</w:t>
            </w:r>
          </w:p>
        </w:tc>
      </w:tr>
      <w:tr>
        <w:trPr>
          <w:trHeight w:val="121"/>
        </w:trPr>
        <w:tc>
          <w:tcPr>
            <w:tcW w:w="3740" w:type="dxa"/>
            <w:vAlign w:val="bottom"/>
          </w:tcPr>
          <w:p>
            <w:pPr>
              <w:spacing w:after="0"/>
              <w:rPr>
                <w:sz w:val="10"/>
                <w:szCs w:val="10"/>
                <w:color w:val="auto"/>
              </w:rPr>
            </w:pPr>
          </w:p>
        </w:tc>
        <w:tc>
          <w:tcPr>
            <w:tcW w:w="7500" w:type="dxa"/>
            <w:vAlign w:val="bottom"/>
          </w:tcPr>
          <w:p>
            <w:pPr>
              <w:spacing w:after="0"/>
              <w:rPr>
                <w:sz w:val="10"/>
                <w:szCs w:val="10"/>
                <w:color w:val="auto"/>
              </w:rPr>
            </w:pPr>
          </w:p>
        </w:tc>
      </w:tr>
      <w:tr>
        <w:trPr>
          <w:trHeight w:val="215"/>
        </w:trPr>
        <w:tc>
          <w:tcPr>
            <w:tcW w:w="37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Severance and change in control benefits</w:t>
            </w: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w w:val="97"/>
              </w:rPr>
              <w:t>Discourage turnover and allow NEOs to respond to the possibility of a change in control</w:t>
            </w:r>
          </w:p>
        </w:tc>
      </w:tr>
      <w:tr>
        <w:trPr>
          <w:trHeight w:val="230"/>
        </w:trPr>
        <w:tc>
          <w:tcPr>
            <w:tcW w:w="3740" w:type="dxa"/>
            <w:vAlign w:val="bottom"/>
            <w:shd w:val="clear" w:color="auto" w:fill="DEEAF6"/>
          </w:tcPr>
          <w:p>
            <w:pPr>
              <w:spacing w:after="0"/>
              <w:rPr>
                <w:sz w:val="20"/>
                <w:szCs w:val="20"/>
                <w:color w:val="auto"/>
              </w:rPr>
            </w:pPr>
          </w:p>
        </w:tc>
        <w:tc>
          <w:tcPr>
            <w:tcW w:w="7500" w:type="dxa"/>
            <w:vAlign w:val="bottom"/>
            <w:shd w:val="clear" w:color="auto" w:fill="DEEAF6"/>
          </w:tcPr>
          <w:p>
            <w:pPr>
              <w:ind w:left="700"/>
              <w:spacing w:after="0"/>
              <w:rPr>
                <w:sz w:val="20"/>
                <w:szCs w:val="20"/>
                <w:color w:val="auto"/>
              </w:rPr>
            </w:pPr>
            <w:r>
              <w:rPr>
                <w:rFonts w:ascii="Arial" w:cs="Arial" w:eastAsia="Arial" w:hAnsi="Arial"/>
                <w:sz w:val="18"/>
                <w:szCs w:val="18"/>
                <w:color w:val="auto"/>
                <w:w w:val="94"/>
              </w:rPr>
              <w:t>without being influenced by the potential effects of a change in control on their job security</w:t>
            </w:r>
          </w:p>
        </w:tc>
      </w:tr>
      <w:tr>
        <w:trPr>
          <w:trHeight w:val="121"/>
        </w:trPr>
        <w:tc>
          <w:tcPr>
            <w:tcW w:w="3740" w:type="dxa"/>
            <w:vAlign w:val="bottom"/>
            <w:shd w:val="clear" w:color="auto" w:fill="DEEAF6"/>
          </w:tcPr>
          <w:p>
            <w:pPr>
              <w:spacing w:after="0"/>
              <w:rPr>
                <w:sz w:val="10"/>
                <w:szCs w:val="10"/>
                <w:color w:val="auto"/>
              </w:rPr>
            </w:pPr>
          </w:p>
        </w:tc>
        <w:tc>
          <w:tcPr>
            <w:tcW w:w="7500" w:type="dxa"/>
            <w:vAlign w:val="bottom"/>
            <w:shd w:val="clear" w:color="auto" w:fill="DEEAF6"/>
          </w:tcPr>
          <w:p>
            <w:pPr>
              <w:spacing w:after="0"/>
              <w:rPr>
                <w:sz w:val="10"/>
                <w:szCs w:val="10"/>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elements of our 2022 executive compensation program and compensation decisions for NEOs are described in further detail below.</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Our Compensation Committee reviews and sets base salaries for NEOs, other than the President and CEO, on an annual basis in January of each year. Our Board determines the base salary for our President and CEO based on the recommendation of the Compensation Committee.</w:t>
      </w:r>
    </w:p>
    <w:p>
      <w:pPr>
        <w:spacing w:after="0" w:line="124"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Our Compensation Committee and Board seek to establish and maintain base salaries for each position and level of responsibility that are competitive with those of executives at our peer group companies. In determining the base salary for each executive, the Compensation Committee takes many factors into account, including but not limited to:</w:t>
      </w:r>
    </w:p>
    <w:p>
      <w:pPr>
        <w:spacing w:after="0" w:line="184" w:lineRule="exact"/>
        <w:rPr>
          <w:sz w:val="20"/>
          <w:szCs w:val="20"/>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competitive benchmark data provided by the compensation consultant;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and strategic impact of the executive’s responsibilities;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experience level of the executive;</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executive’s performance against objectives for the year, leadership and contribution to the objectives of the Company;</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compensation levels between executives; and</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input from the President and CEO (for each executive other than the President and CEO).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right="220" w:firstLine="749"/>
        <w:spacing w:after="0" w:line="277" w:lineRule="auto"/>
        <w:rPr>
          <w:sz w:val="20"/>
          <w:szCs w:val="20"/>
          <w:color w:val="auto"/>
        </w:rPr>
      </w:pPr>
      <w:r>
        <w:rPr>
          <w:rFonts w:ascii="Arial" w:cs="Arial" w:eastAsia="Arial" w:hAnsi="Arial"/>
          <w:sz w:val="18"/>
          <w:szCs w:val="18"/>
          <w:color w:val="auto"/>
        </w:rPr>
        <w:t>Our NEOs were given merit increases to their base salaries in 2022 as a result of their respective performances in 2021. In consideration of the factors described above, the base salaries for our NEOs were adjusted as follows in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0" w:type="dxa"/>
            <w:vAlign w:val="bottom"/>
          </w:tcPr>
          <w:p>
            <w:pPr>
              <w:jc w:val="center"/>
              <w:ind w:left="1619"/>
              <w:spacing w:after="0"/>
              <w:rPr>
                <w:sz w:val="20"/>
                <w:szCs w:val="20"/>
                <w:color w:val="auto"/>
              </w:rPr>
            </w:pPr>
            <w:r>
              <w:rPr>
                <w:rFonts w:ascii="Arial" w:cs="Arial" w:eastAsia="Arial" w:hAnsi="Arial"/>
                <w:sz w:val="14"/>
                <w:szCs w:val="14"/>
                <w:b w:val="1"/>
                <w:bCs w:val="1"/>
                <w:color w:val="auto"/>
                <w:w w:val="91"/>
              </w:rPr>
              <w:t>Annual Base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Annual Base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600" w:type="dxa"/>
            <w:vAlign w:val="bottom"/>
          </w:tcPr>
          <w:p>
            <w:pPr>
              <w:jc w:val="center"/>
              <w:ind w:left="1639"/>
              <w:spacing w:after="0" w:line="149" w:lineRule="exact"/>
              <w:rPr>
                <w:sz w:val="20"/>
                <w:szCs w:val="20"/>
                <w:color w:val="auto"/>
              </w:rPr>
            </w:pPr>
            <w:r>
              <w:rPr>
                <w:rFonts w:ascii="Arial" w:cs="Arial" w:eastAsia="Arial" w:hAnsi="Arial"/>
                <w:sz w:val="14"/>
                <w:szCs w:val="14"/>
                <w:b w:val="1"/>
                <w:bCs w:val="1"/>
                <w:color w:val="auto"/>
                <w:w w:val="95"/>
              </w:rPr>
              <w:t>Salary</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600" w:type="dxa"/>
            <w:vAlign w:val="bottom"/>
          </w:tcPr>
          <w:p>
            <w:pPr>
              <w:jc w:val="center"/>
              <w:ind w:left="1639"/>
              <w:spacing w:after="0" w:line="149" w:lineRule="exact"/>
              <w:rPr>
                <w:sz w:val="20"/>
                <w:szCs w:val="20"/>
                <w:color w:val="auto"/>
              </w:rPr>
            </w:pPr>
            <w:r>
              <w:rPr>
                <w:rFonts w:ascii="Arial" w:cs="Arial" w:eastAsia="Arial" w:hAnsi="Arial"/>
                <w:sz w:val="14"/>
                <w:szCs w:val="14"/>
                <w:b w:val="1"/>
                <w:bCs w:val="1"/>
                <w:color w:val="auto"/>
                <w:w w:val="92"/>
              </w:rPr>
              <w:t>Approved in</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Approved in</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3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3600" w:type="dxa"/>
            <w:vAlign w:val="bottom"/>
          </w:tcPr>
          <w:p>
            <w:pPr>
              <w:jc w:val="center"/>
              <w:ind w:left="1599"/>
              <w:spacing w:after="0" w:line="149" w:lineRule="exact"/>
              <w:rPr>
                <w:sz w:val="20"/>
                <w:szCs w:val="20"/>
                <w:color w:val="auto"/>
              </w:rPr>
            </w:pPr>
            <w:r>
              <w:rPr>
                <w:rFonts w:ascii="Arial" w:cs="Arial" w:eastAsia="Arial" w:hAnsi="Arial"/>
                <w:sz w:val="14"/>
                <w:szCs w:val="14"/>
                <w:b w:val="1"/>
                <w:bCs w:val="1"/>
                <w:color w:val="auto"/>
                <w:w w:val="89"/>
              </w:rPr>
              <w:t>2022</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2021</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85"/>
        </w:trPr>
        <w:tc>
          <w:tcPr>
            <w:tcW w:w="3980" w:type="dxa"/>
            <w:vAlign w:val="bottom"/>
            <w:tcBorders>
              <w:bottom w:val="single" w:sz="8" w:color="auto"/>
            </w:tcBorders>
            <w:vMerge w:val="continue"/>
          </w:tcPr>
          <w:p>
            <w:pPr>
              <w:spacing w:after="0"/>
              <w:rPr>
                <w:sz w:val="16"/>
                <w:szCs w:val="16"/>
                <w:color w:val="auto"/>
              </w:rPr>
            </w:pPr>
          </w:p>
        </w:tc>
        <w:tc>
          <w:tcPr>
            <w:tcW w:w="3600" w:type="dxa"/>
            <w:vAlign w:val="bottom"/>
            <w:tcBorders>
              <w:bottom w:val="single" w:sz="8" w:color="auto"/>
            </w:tcBorders>
          </w:tcPr>
          <w:p>
            <w:pPr>
              <w:jc w:val="center"/>
              <w:ind w:left="1639"/>
              <w:spacing w:after="0"/>
              <w:rPr>
                <w:sz w:val="20"/>
                <w:szCs w:val="20"/>
                <w:color w:val="auto"/>
              </w:rPr>
            </w:pPr>
            <w:r>
              <w:rPr>
                <w:rFonts w:ascii="Arial" w:cs="Arial" w:eastAsia="Arial" w:hAnsi="Arial"/>
                <w:sz w:val="14"/>
                <w:szCs w:val="14"/>
                <w:b w:val="1"/>
                <w:bCs w:val="1"/>
                <w:color w:val="auto"/>
                <w:w w:val="93"/>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2021 to 2022</w:t>
            </w:r>
          </w:p>
        </w:tc>
        <w:tc>
          <w:tcPr>
            <w:tcW w:w="0" w:type="dxa"/>
            <w:vAlign w:val="bottom"/>
          </w:tcPr>
          <w:p>
            <w:pPr>
              <w:spacing w:after="0"/>
              <w:rPr>
                <w:sz w:val="1"/>
                <w:szCs w:val="1"/>
                <w:color w:val="auto"/>
              </w:rPr>
            </w:pPr>
          </w:p>
        </w:tc>
      </w:tr>
      <w:tr>
        <w:trPr>
          <w:trHeight w:val="237"/>
        </w:trPr>
        <w:tc>
          <w:tcPr>
            <w:tcW w:w="39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3600" w:type="dxa"/>
            <w:vAlign w:val="bottom"/>
            <w:shd w:val="clear" w:color="auto" w:fill="DEEAF6"/>
          </w:tcPr>
          <w:p>
            <w:pPr>
              <w:jc w:val="center"/>
              <w:ind w:left="1579"/>
              <w:spacing w:after="0"/>
              <w:rPr>
                <w:sz w:val="20"/>
                <w:szCs w:val="20"/>
                <w:color w:val="auto"/>
              </w:rPr>
            </w:pPr>
            <w:r>
              <w:rPr>
                <w:rFonts w:ascii="Arial" w:cs="Arial" w:eastAsia="Arial" w:hAnsi="Arial"/>
                <w:sz w:val="18"/>
                <w:szCs w:val="18"/>
                <w:color w:val="auto"/>
                <w:w w:val="89"/>
              </w:rPr>
              <w:t>650,759</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631,805</w:t>
            </w:r>
          </w:p>
        </w:tc>
        <w:tc>
          <w:tcPr>
            <w:tcW w:w="17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3600" w:type="dxa"/>
            <w:vAlign w:val="bottom"/>
          </w:tcPr>
          <w:p>
            <w:pPr>
              <w:jc w:val="center"/>
              <w:ind w:left="1579"/>
              <w:spacing w:after="0"/>
              <w:rPr>
                <w:sz w:val="20"/>
                <w:szCs w:val="20"/>
                <w:color w:val="auto"/>
              </w:rPr>
            </w:pPr>
            <w:r>
              <w:rPr>
                <w:rFonts w:ascii="Arial" w:cs="Arial" w:eastAsia="Arial" w:hAnsi="Arial"/>
                <w:sz w:val="18"/>
                <w:szCs w:val="18"/>
                <w:color w:val="auto"/>
                <w:w w:val="89"/>
              </w:rPr>
              <w:t>480,787</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466,783</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249"/>
        </w:trPr>
        <w:tc>
          <w:tcPr>
            <w:tcW w:w="39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3600" w:type="dxa"/>
            <w:vAlign w:val="bottom"/>
            <w:shd w:val="clear" w:color="auto" w:fill="DEEAF6"/>
          </w:tcPr>
          <w:p>
            <w:pPr>
              <w:jc w:val="center"/>
              <w:ind w:left="1579"/>
              <w:spacing w:after="0"/>
              <w:rPr>
                <w:sz w:val="20"/>
                <w:szCs w:val="20"/>
                <w:color w:val="auto"/>
              </w:rPr>
            </w:pPr>
            <w:r>
              <w:rPr>
                <w:rFonts w:ascii="Arial" w:cs="Arial" w:eastAsia="Arial" w:hAnsi="Arial"/>
                <w:sz w:val="18"/>
                <w:szCs w:val="18"/>
                <w:color w:val="auto"/>
                <w:w w:val="89"/>
              </w:rPr>
              <w:t>474,933</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448,050</w:t>
            </w:r>
          </w:p>
        </w:tc>
        <w:tc>
          <w:tcPr>
            <w:tcW w:w="17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6.0%</w:t>
            </w:r>
          </w:p>
        </w:tc>
        <w:tc>
          <w:tcPr>
            <w:tcW w:w="0" w:type="dxa"/>
            <w:vAlign w:val="bottom"/>
          </w:tcPr>
          <w:p>
            <w:pPr>
              <w:spacing w:after="0"/>
              <w:rPr>
                <w:sz w:val="1"/>
                <w:szCs w:val="1"/>
                <w:color w:val="auto"/>
              </w:rPr>
            </w:pPr>
          </w:p>
        </w:tc>
      </w:tr>
      <w:tr>
        <w:trPr>
          <w:trHeight w:val="237"/>
        </w:trPr>
        <w:tc>
          <w:tcPr>
            <w:tcW w:w="398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3600" w:type="dxa"/>
            <w:vAlign w:val="bottom"/>
          </w:tcPr>
          <w:p>
            <w:pPr>
              <w:jc w:val="center"/>
              <w:ind w:left="1579"/>
              <w:spacing w:after="0"/>
              <w:rPr>
                <w:sz w:val="20"/>
                <w:szCs w:val="20"/>
                <w:color w:val="auto"/>
              </w:rPr>
            </w:pPr>
            <w:r>
              <w:rPr>
                <w:rFonts w:ascii="Arial" w:cs="Arial" w:eastAsia="Arial" w:hAnsi="Arial"/>
                <w:sz w:val="18"/>
                <w:szCs w:val="18"/>
                <w:color w:val="auto"/>
                <w:w w:val="89"/>
              </w:rPr>
              <w:t>478,996</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465,045</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249"/>
        </w:trPr>
        <w:tc>
          <w:tcPr>
            <w:tcW w:w="39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3600" w:type="dxa"/>
            <w:vAlign w:val="bottom"/>
            <w:shd w:val="clear" w:color="auto" w:fill="DEEAF6"/>
          </w:tcPr>
          <w:p>
            <w:pPr>
              <w:jc w:val="center"/>
              <w:ind w:left="1579"/>
              <w:spacing w:after="0"/>
              <w:rPr>
                <w:sz w:val="20"/>
                <w:szCs w:val="20"/>
                <w:color w:val="auto"/>
              </w:rPr>
            </w:pPr>
            <w:r>
              <w:rPr>
                <w:rFonts w:ascii="Arial" w:cs="Arial" w:eastAsia="Arial" w:hAnsi="Arial"/>
                <w:sz w:val="18"/>
                <w:szCs w:val="18"/>
                <w:color w:val="auto"/>
                <w:w w:val="89"/>
              </w:rPr>
              <w:t>482,940</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455,604</w:t>
            </w:r>
          </w:p>
        </w:tc>
        <w:tc>
          <w:tcPr>
            <w:tcW w:w="17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Short-Term Cash Incentive</w:t>
      </w:r>
    </w:p>
    <w:p>
      <w:pPr>
        <w:spacing w:after="0" w:line="22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have an annual cash incentive program for all employees, which is intended to align corporate, departmental, and individual goals throughout the Company and to provide an incentive that further ties compensation to achievement of those goals. In establishing targets for the cash incentive awards for our NEOs, the Compensation Committee (and the Board, in the case of our President and CEO) considers cash incentive awards paid to executives in similar positions at our peer group companies.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2022, target cash incentive award percentages remained the same from the prior year, as reflected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460" w:type="dxa"/>
            <w:vAlign w:val="bottom"/>
          </w:tcPr>
          <w:p>
            <w:pPr>
              <w:jc w:val="center"/>
              <w:ind w:left="1738"/>
              <w:spacing w:after="0"/>
              <w:rPr>
                <w:sz w:val="20"/>
                <w:szCs w:val="20"/>
                <w:color w:val="auto"/>
              </w:rPr>
            </w:pPr>
            <w:r>
              <w:rPr>
                <w:rFonts w:ascii="Arial" w:cs="Arial" w:eastAsia="Arial" w:hAnsi="Arial"/>
                <w:sz w:val="14"/>
                <w:szCs w:val="14"/>
                <w:b w:val="1"/>
                <w:bCs w:val="1"/>
                <w:color w:val="auto"/>
                <w:w w:val="93"/>
              </w:rPr>
              <w:t>Target Cash</w:t>
            </w:r>
          </w:p>
        </w:tc>
        <w:tc>
          <w:tcPr>
            <w:tcW w:w="2520" w:type="dxa"/>
            <w:vAlign w:val="bottom"/>
          </w:tcPr>
          <w:p>
            <w:pPr>
              <w:jc w:val="center"/>
              <w:ind w:left="18"/>
              <w:spacing w:after="0"/>
              <w:rPr>
                <w:sz w:val="20"/>
                <w:szCs w:val="20"/>
                <w:color w:val="auto"/>
              </w:rPr>
            </w:pPr>
            <w:r>
              <w:rPr>
                <w:rFonts w:ascii="Arial" w:cs="Arial" w:eastAsia="Arial" w:hAnsi="Arial"/>
                <w:sz w:val="14"/>
                <w:szCs w:val="14"/>
                <w:b w:val="1"/>
                <w:bCs w:val="1"/>
                <w:color w:val="auto"/>
                <w:w w:val="91"/>
              </w:rPr>
              <w:t>Target Cash</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460" w:type="dxa"/>
            <w:vAlign w:val="bottom"/>
          </w:tcPr>
          <w:p>
            <w:pPr>
              <w:jc w:val="center"/>
              <w:ind w:left="1738"/>
              <w:spacing w:after="0" w:line="149" w:lineRule="exact"/>
              <w:rPr>
                <w:sz w:val="20"/>
                <w:szCs w:val="20"/>
                <w:color w:val="auto"/>
              </w:rPr>
            </w:pPr>
            <w:r>
              <w:rPr>
                <w:rFonts w:ascii="Arial" w:cs="Arial" w:eastAsia="Arial" w:hAnsi="Arial"/>
                <w:sz w:val="14"/>
                <w:szCs w:val="14"/>
                <w:b w:val="1"/>
                <w:bCs w:val="1"/>
                <w:color w:val="auto"/>
                <w:w w:val="93"/>
              </w:rPr>
              <w:t>Incentive Award</w:t>
            </w:r>
          </w:p>
        </w:tc>
        <w:tc>
          <w:tcPr>
            <w:tcW w:w="252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4"/>
              </w:rPr>
              <w:t>Incentive Award</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4460" w:type="dxa"/>
            <w:vAlign w:val="bottom"/>
          </w:tcPr>
          <w:p>
            <w:pPr>
              <w:jc w:val="center"/>
              <w:ind w:left="1738"/>
              <w:spacing w:after="0" w:line="149" w:lineRule="exact"/>
              <w:rPr>
                <w:sz w:val="20"/>
                <w:szCs w:val="20"/>
                <w:color w:val="auto"/>
              </w:rPr>
            </w:pPr>
            <w:r>
              <w:rPr>
                <w:rFonts w:ascii="Arial" w:cs="Arial" w:eastAsia="Arial" w:hAnsi="Arial"/>
                <w:sz w:val="14"/>
                <w:szCs w:val="14"/>
                <w:b w:val="1"/>
                <w:bCs w:val="1"/>
                <w:color w:val="auto"/>
                <w:w w:val="96"/>
              </w:rPr>
              <w:t>for 2022</w:t>
            </w: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2021</w:t>
            </w:r>
          </w:p>
        </w:tc>
        <w:tc>
          <w:tcPr>
            <w:tcW w:w="0" w:type="dxa"/>
            <w:vAlign w:val="bottom"/>
          </w:tcPr>
          <w:p>
            <w:pPr>
              <w:spacing w:after="0"/>
              <w:rPr>
                <w:sz w:val="1"/>
                <w:szCs w:val="1"/>
                <w:color w:val="auto"/>
              </w:rPr>
            </w:pPr>
          </w:p>
        </w:tc>
      </w:tr>
      <w:tr>
        <w:trPr>
          <w:trHeight w:val="185"/>
        </w:trPr>
        <w:tc>
          <w:tcPr>
            <w:tcW w:w="4260" w:type="dxa"/>
            <w:vAlign w:val="bottom"/>
            <w:tcBorders>
              <w:bottom w:val="single" w:sz="8" w:color="auto"/>
            </w:tcBorders>
            <w:vMerge w:val="continue"/>
          </w:tcPr>
          <w:p>
            <w:pPr>
              <w:spacing w:after="0"/>
              <w:rPr>
                <w:sz w:val="16"/>
                <w:szCs w:val="16"/>
                <w:color w:val="auto"/>
              </w:rPr>
            </w:pPr>
          </w:p>
        </w:tc>
        <w:tc>
          <w:tcPr>
            <w:tcW w:w="4460" w:type="dxa"/>
            <w:vAlign w:val="bottom"/>
            <w:tcBorders>
              <w:bottom w:val="single" w:sz="8" w:color="auto"/>
            </w:tcBorders>
          </w:tcPr>
          <w:p>
            <w:pPr>
              <w:jc w:val="center"/>
              <w:ind w:left="1738"/>
              <w:spacing w:after="0"/>
              <w:rPr>
                <w:sz w:val="20"/>
                <w:szCs w:val="20"/>
                <w:color w:val="auto"/>
              </w:rPr>
            </w:pPr>
            <w:r>
              <w:rPr>
                <w:rFonts w:ascii="Arial" w:cs="Arial" w:eastAsia="Arial" w:hAnsi="Arial"/>
                <w:sz w:val="14"/>
                <w:szCs w:val="14"/>
                <w:b w:val="1"/>
                <w:bCs w:val="1"/>
                <w:color w:val="auto"/>
                <w:w w:val="94"/>
              </w:rPr>
              <w:t>(% of Base Salary)</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of Base Salary)</w:t>
            </w:r>
          </w:p>
        </w:tc>
        <w:tc>
          <w:tcPr>
            <w:tcW w:w="0" w:type="dxa"/>
            <w:vAlign w:val="bottom"/>
          </w:tcPr>
          <w:p>
            <w:pPr>
              <w:spacing w:after="0"/>
              <w:rPr>
                <w:sz w:val="1"/>
                <w:szCs w:val="1"/>
                <w:color w:val="auto"/>
              </w:rPr>
            </w:pPr>
          </w:p>
        </w:tc>
      </w:tr>
      <w:tr>
        <w:trPr>
          <w:trHeight w:val="237"/>
        </w:trPr>
        <w:tc>
          <w:tcPr>
            <w:tcW w:w="4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4460" w:type="dxa"/>
            <w:vAlign w:val="bottom"/>
            <w:shd w:val="clear" w:color="auto" w:fill="DEEAF6"/>
          </w:tcPr>
          <w:p>
            <w:pPr>
              <w:jc w:val="center"/>
              <w:ind w:left="1738"/>
              <w:spacing w:after="0"/>
              <w:rPr>
                <w:sz w:val="20"/>
                <w:szCs w:val="20"/>
                <w:color w:val="auto"/>
              </w:rPr>
            </w:pPr>
            <w:r>
              <w:rPr>
                <w:rFonts w:ascii="Arial" w:cs="Arial" w:eastAsia="Arial" w:hAnsi="Arial"/>
                <w:sz w:val="18"/>
                <w:szCs w:val="18"/>
                <w:color w:val="auto"/>
                <w:w w:val="88"/>
              </w:rPr>
              <w:t>60%</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37"/>
        </w:trPr>
        <w:tc>
          <w:tcPr>
            <w:tcW w:w="426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4460" w:type="dxa"/>
            <w:vAlign w:val="bottom"/>
          </w:tcPr>
          <w:p>
            <w:pPr>
              <w:jc w:val="center"/>
              <w:ind w:left="1738"/>
              <w:spacing w:after="0"/>
              <w:rPr>
                <w:sz w:val="20"/>
                <w:szCs w:val="20"/>
                <w:color w:val="auto"/>
              </w:rPr>
            </w:pPr>
            <w:r>
              <w:rPr>
                <w:rFonts w:ascii="Arial" w:cs="Arial" w:eastAsia="Arial" w:hAnsi="Arial"/>
                <w:sz w:val="18"/>
                <w:szCs w:val="18"/>
                <w:color w:val="auto"/>
                <w:w w:val="88"/>
              </w:rPr>
              <w:t>40%</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49"/>
        </w:trPr>
        <w:tc>
          <w:tcPr>
            <w:tcW w:w="4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4460" w:type="dxa"/>
            <w:vAlign w:val="bottom"/>
            <w:shd w:val="clear" w:color="auto" w:fill="DEEAF6"/>
          </w:tcPr>
          <w:p>
            <w:pPr>
              <w:jc w:val="center"/>
              <w:ind w:left="1738"/>
              <w:spacing w:after="0"/>
              <w:rPr>
                <w:sz w:val="20"/>
                <w:szCs w:val="20"/>
                <w:color w:val="auto"/>
              </w:rPr>
            </w:pPr>
            <w:r>
              <w:rPr>
                <w:rFonts w:ascii="Arial" w:cs="Arial" w:eastAsia="Arial" w:hAnsi="Arial"/>
                <w:sz w:val="18"/>
                <w:szCs w:val="18"/>
                <w:color w:val="auto"/>
                <w:w w:val="88"/>
              </w:rPr>
              <w:t>40%</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37"/>
        </w:trPr>
        <w:tc>
          <w:tcPr>
            <w:tcW w:w="426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4460" w:type="dxa"/>
            <w:vAlign w:val="bottom"/>
          </w:tcPr>
          <w:p>
            <w:pPr>
              <w:jc w:val="center"/>
              <w:ind w:left="1738"/>
              <w:spacing w:after="0"/>
              <w:rPr>
                <w:sz w:val="20"/>
                <w:szCs w:val="20"/>
                <w:color w:val="auto"/>
              </w:rPr>
            </w:pPr>
            <w:r>
              <w:rPr>
                <w:rFonts w:ascii="Arial" w:cs="Arial" w:eastAsia="Arial" w:hAnsi="Arial"/>
                <w:sz w:val="18"/>
                <w:szCs w:val="18"/>
                <w:color w:val="auto"/>
                <w:w w:val="88"/>
              </w:rPr>
              <w:t>40%</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49"/>
        </w:trPr>
        <w:tc>
          <w:tcPr>
            <w:tcW w:w="4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4460" w:type="dxa"/>
            <w:vAlign w:val="bottom"/>
            <w:shd w:val="clear" w:color="auto" w:fill="DEEAF6"/>
          </w:tcPr>
          <w:p>
            <w:pPr>
              <w:jc w:val="center"/>
              <w:ind w:left="1738"/>
              <w:spacing w:after="0"/>
              <w:rPr>
                <w:sz w:val="20"/>
                <w:szCs w:val="20"/>
                <w:color w:val="auto"/>
              </w:rPr>
            </w:pPr>
            <w:r>
              <w:rPr>
                <w:rFonts w:ascii="Arial" w:cs="Arial" w:eastAsia="Arial" w:hAnsi="Arial"/>
                <w:sz w:val="18"/>
                <w:szCs w:val="18"/>
                <w:color w:val="auto"/>
                <w:w w:val="88"/>
              </w:rPr>
              <w:t>40%</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For 2022, our Compensation Committee determined that the cash incentive awards for our NEOs, except for our President and CEO, Mr. Mills, would be determined based on corporate and individual objectives. Given Mr. Mills’ more substantial influence on the overall performance of the Company, the Compensation Committee believed it was appropriate and in the best interests of the Company to have Mr. Mills’ cash incentive award be based solely upon the achievement of corporate objectives, and the independent Board members concurred. The Compensation Committee believes that including the achievement of individual goals as a component of our cash incentive award payouts is important to motivate our NEOs other than Mr. Mills, as we continue to progress toward the commercial phase of our Company. For 2022, weightings allocated to corporate and individual objectives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340" w:type="dxa"/>
            <w:vAlign w:val="bottom"/>
          </w:tcPr>
          <w:p>
            <w:pPr>
              <w:ind w:left="2700"/>
              <w:spacing w:after="0"/>
              <w:rPr>
                <w:sz w:val="20"/>
                <w:szCs w:val="20"/>
                <w:color w:val="auto"/>
              </w:rPr>
            </w:pPr>
            <w:r>
              <w:rPr>
                <w:rFonts w:ascii="Arial" w:cs="Arial" w:eastAsia="Arial" w:hAnsi="Arial"/>
                <w:sz w:val="14"/>
                <w:szCs w:val="14"/>
                <w:b w:val="1"/>
                <w:bCs w:val="1"/>
                <w:color w:val="auto"/>
              </w:rPr>
              <w:t>Corporate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7"/>
              </w:rPr>
              <w:t>Individual</w:t>
            </w:r>
          </w:p>
        </w:tc>
        <w:tc>
          <w:tcPr>
            <w:tcW w:w="0" w:type="dxa"/>
            <w:vAlign w:val="bottom"/>
          </w:tcPr>
          <w:p>
            <w:pPr>
              <w:spacing w:after="0"/>
              <w:rPr>
                <w:sz w:val="1"/>
                <w:szCs w:val="1"/>
                <w:color w:val="auto"/>
              </w:rPr>
            </w:pPr>
          </w:p>
        </w:tc>
      </w:tr>
      <w:tr>
        <w:trPr>
          <w:trHeight w:val="149"/>
        </w:trPr>
        <w:tc>
          <w:tcPr>
            <w:tcW w:w="43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4340" w:type="dxa"/>
            <w:vAlign w:val="bottom"/>
          </w:tcPr>
          <w:p>
            <w:pPr>
              <w:ind w:left="2700"/>
              <w:spacing w:after="0" w:line="149" w:lineRule="exact"/>
              <w:rPr>
                <w:sz w:val="20"/>
                <w:szCs w:val="20"/>
                <w:color w:val="auto"/>
              </w:rPr>
            </w:pPr>
            <w:r>
              <w:rPr>
                <w:rFonts w:ascii="Arial" w:cs="Arial" w:eastAsia="Arial" w:hAnsi="Arial"/>
                <w:sz w:val="14"/>
                <w:szCs w:val="14"/>
                <w:b w:val="1"/>
                <w:bCs w:val="1"/>
                <w:color w:val="auto"/>
              </w:rPr>
              <w:t>Objectives</w:t>
            </w: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Objectives</w:t>
            </w:r>
          </w:p>
        </w:tc>
        <w:tc>
          <w:tcPr>
            <w:tcW w:w="0" w:type="dxa"/>
            <w:vAlign w:val="bottom"/>
          </w:tcPr>
          <w:p>
            <w:pPr>
              <w:spacing w:after="0"/>
              <w:rPr>
                <w:sz w:val="1"/>
                <w:szCs w:val="1"/>
                <w:color w:val="auto"/>
              </w:rPr>
            </w:pPr>
          </w:p>
        </w:tc>
      </w:tr>
      <w:tr>
        <w:trPr>
          <w:trHeight w:val="185"/>
        </w:trPr>
        <w:tc>
          <w:tcPr>
            <w:tcW w:w="4380" w:type="dxa"/>
            <w:vAlign w:val="bottom"/>
            <w:tcBorders>
              <w:bottom w:val="single" w:sz="8" w:color="auto"/>
            </w:tcBorders>
            <w:vMerge w:val="continue"/>
          </w:tcPr>
          <w:p>
            <w:pPr>
              <w:spacing w:after="0"/>
              <w:rPr>
                <w:sz w:val="16"/>
                <w:szCs w:val="16"/>
                <w:color w:val="auto"/>
              </w:rPr>
            </w:pPr>
          </w:p>
        </w:tc>
        <w:tc>
          <w:tcPr>
            <w:tcW w:w="434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Weighting</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Weighting</w:t>
            </w:r>
          </w:p>
        </w:tc>
        <w:tc>
          <w:tcPr>
            <w:tcW w:w="0" w:type="dxa"/>
            <w:vAlign w:val="bottom"/>
          </w:tcPr>
          <w:p>
            <w:pPr>
              <w:spacing w:after="0"/>
              <w:rPr>
                <w:sz w:val="1"/>
                <w:szCs w:val="1"/>
                <w:color w:val="auto"/>
              </w:rPr>
            </w:pPr>
          </w:p>
        </w:tc>
      </w:tr>
      <w:tr>
        <w:trPr>
          <w:trHeight w:val="236"/>
        </w:trPr>
        <w:tc>
          <w:tcPr>
            <w:tcW w:w="43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4340" w:type="dxa"/>
            <w:vAlign w:val="bottom"/>
            <w:shd w:val="clear" w:color="auto" w:fill="DEEAF6"/>
          </w:tcPr>
          <w:p>
            <w:pPr>
              <w:jc w:val="center"/>
              <w:ind w:left="1597"/>
              <w:spacing w:after="0"/>
              <w:rPr>
                <w:sz w:val="20"/>
                <w:szCs w:val="20"/>
                <w:color w:val="auto"/>
              </w:rPr>
            </w:pPr>
            <w:r>
              <w:rPr>
                <w:rFonts w:ascii="Arial" w:cs="Arial" w:eastAsia="Arial" w:hAnsi="Arial"/>
                <w:sz w:val="18"/>
                <w:szCs w:val="18"/>
                <w:color w:val="auto"/>
                <w:w w:val="91"/>
              </w:rPr>
              <w:t>100%</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4340" w:type="dxa"/>
            <w:vAlign w:val="bottom"/>
          </w:tcPr>
          <w:p>
            <w:pPr>
              <w:jc w:val="center"/>
              <w:ind w:left="1617"/>
              <w:spacing w:after="0"/>
              <w:rPr>
                <w:sz w:val="20"/>
                <w:szCs w:val="20"/>
                <w:color w:val="auto"/>
              </w:rPr>
            </w:pPr>
            <w:r>
              <w:rPr>
                <w:rFonts w:ascii="Arial" w:cs="Arial" w:eastAsia="Arial" w:hAnsi="Arial"/>
                <w:sz w:val="18"/>
                <w:szCs w:val="18"/>
                <w:color w:val="auto"/>
                <w:w w:val="88"/>
              </w:rPr>
              <w:t>75%</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49"/>
        </w:trPr>
        <w:tc>
          <w:tcPr>
            <w:tcW w:w="43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4340" w:type="dxa"/>
            <w:vAlign w:val="bottom"/>
            <w:shd w:val="clear" w:color="auto" w:fill="DEEAF6"/>
          </w:tcPr>
          <w:p>
            <w:pPr>
              <w:jc w:val="center"/>
              <w:ind w:left="1617"/>
              <w:spacing w:after="0"/>
              <w:rPr>
                <w:sz w:val="20"/>
                <w:szCs w:val="20"/>
                <w:color w:val="auto"/>
              </w:rPr>
            </w:pPr>
            <w:r>
              <w:rPr>
                <w:rFonts w:ascii="Arial" w:cs="Arial" w:eastAsia="Arial" w:hAnsi="Arial"/>
                <w:sz w:val="18"/>
                <w:szCs w:val="18"/>
                <w:color w:val="auto"/>
                <w:w w:val="88"/>
              </w:rPr>
              <w:t>75%</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4340" w:type="dxa"/>
            <w:vAlign w:val="bottom"/>
          </w:tcPr>
          <w:p>
            <w:pPr>
              <w:jc w:val="center"/>
              <w:ind w:left="1617"/>
              <w:spacing w:after="0"/>
              <w:rPr>
                <w:sz w:val="20"/>
                <w:szCs w:val="20"/>
                <w:color w:val="auto"/>
              </w:rPr>
            </w:pPr>
            <w:r>
              <w:rPr>
                <w:rFonts w:ascii="Arial" w:cs="Arial" w:eastAsia="Arial" w:hAnsi="Arial"/>
                <w:sz w:val="18"/>
                <w:szCs w:val="18"/>
                <w:color w:val="auto"/>
                <w:w w:val="88"/>
              </w:rPr>
              <w:t>75%</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49"/>
        </w:trPr>
        <w:tc>
          <w:tcPr>
            <w:tcW w:w="43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4340" w:type="dxa"/>
            <w:vAlign w:val="bottom"/>
            <w:shd w:val="clear" w:color="auto" w:fill="DEEAF6"/>
          </w:tcPr>
          <w:p>
            <w:pPr>
              <w:jc w:val="center"/>
              <w:ind w:left="1617"/>
              <w:spacing w:after="0"/>
              <w:rPr>
                <w:sz w:val="20"/>
                <w:szCs w:val="20"/>
                <w:color w:val="auto"/>
              </w:rPr>
            </w:pPr>
            <w:r>
              <w:rPr>
                <w:rFonts w:ascii="Arial" w:cs="Arial" w:eastAsia="Arial" w:hAnsi="Arial"/>
                <w:sz w:val="18"/>
                <w:szCs w:val="18"/>
                <w:color w:val="auto"/>
                <w:w w:val="88"/>
              </w:rPr>
              <w:t>75%</w:t>
            </w:r>
          </w:p>
        </w:tc>
        <w:tc>
          <w:tcPr>
            <w:tcW w:w="25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The Company’s annual cash incentive program, which is approved by the Compensation Committee and applicable to all employees, utilizes both a corporate performance multiplier and an individual performance multiplier. The corporate performance multiplier is based on the degree to which the Company’s objectives have been achieved during the relevant year; this multiplier is determined by the Compensation Committee and may range from 0 to 200% of target, provided that, if it is determined to be less than 50% of target, there will be no payout for the portion of our annual incentive program that is attributable to corporate performance. The individual performance modifier is based on the degree to which each employee’s individual objectives have been achieved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during the relevant year; this multiplier is approved by the Compensation Committee for each of our NEOs and may range from 0 to 200% of target.</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Corporate Objectives</w:t>
      </w:r>
    </w:p>
    <w:p>
      <w:pPr>
        <w:spacing w:after="0" w:line="225" w:lineRule="exact"/>
        <w:rPr>
          <w:sz w:val="20"/>
          <w:szCs w:val="20"/>
          <w:color w:val="auto"/>
        </w:rPr>
      </w:pPr>
    </w:p>
    <w:p>
      <w:pPr>
        <w:ind w:right="460" w:firstLine="749"/>
        <w:spacing w:after="0" w:line="342" w:lineRule="auto"/>
        <w:rPr>
          <w:sz w:val="20"/>
          <w:szCs w:val="20"/>
          <w:color w:val="auto"/>
        </w:rPr>
      </w:pPr>
      <w:r>
        <w:rPr>
          <w:rFonts w:ascii="Arial" w:cs="Arial" w:eastAsia="Arial" w:hAnsi="Arial"/>
          <w:sz w:val="16"/>
          <w:szCs w:val="16"/>
          <w:color w:val="auto"/>
        </w:rPr>
        <w:t>Near the beginning of each year, our management recommends annual corporate objectives to our Compensation Committee and Board for approval. These objectives serve as the basis for determining our performance against key strategic and operating parameters for the year.</w:t>
      </w:r>
    </w:p>
    <w:p>
      <w:pPr>
        <w:spacing w:after="0" w:line="124"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The Compensation Committee and the Board approved the corporate objectives and weightings for 2022 as reflected in the table below. At the time of approval, the Compensation Committee believed that these objectives were challenging, but attainable, and that attainment was uncertain.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Weighting</w:t>
            </w:r>
          </w:p>
        </w:tc>
        <w:tc>
          <w:tcPr>
            <w:tcW w:w="0" w:type="dxa"/>
            <w:vAlign w:val="bottom"/>
          </w:tcPr>
          <w:p>
            <w:pPr>
              <w:spacing w:after="0"/>
              <w:rPr>
                <w:sz w:val="1"/>
                <w:szCs w:val="1"/>
                <w:color w:val="auto"/>
              </w:rPr>
            </w:pPr>
          </w:p>
        </w:tc>
      </w:tr>
      <w:tr>
        <w:trPr>
          <w:trHeight w:val="149"/>
        </w:trPr>
        <w:tc>
          <w:tcPr>
            <w:tcW w:w="9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Corporate Objective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 of Corporate</w:t>
            </w:r>
          </w:p>
        </w:tc>
        <w:tc>
          <w:tcPr>
            <w:tcW w:w="0" w:type="dxa"/>
            <w:vAlign w:val="bottom"/>
          </w:tcPr>
          <w:p>
            <w:pPr>
              <w:spacing w:after="0"/>
              <w:rPr>
                <w:sz w:val="1"/>
                <w:szCs w:val="1"/>
                <w:color w:val="auto"/>
              </w:rPr>
            </w:pPr>
          </w:p>
        </w:tc>
      </w:tr>
      <w:tr>
        <w:trPr>
          <w:trHeight w:val="185"/>
        </w:trPr>
        <w:tc>
          <w:tcPr>
            <w:tcW w:w="9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Objectives)</w:t>
            </w:r>
          </w:p>
        </w:tc>
        <w:tc>
          <w:tcPr>
            <w:tcW w:w="0" w:type="dxa"/>
            <w:vAlign w:val="bottom"/>
          </w:tcPr>
          <w:p>
            <w:pPr>
              <w:spacing w:after="0"/>
              <w:rPr>
                <w:sz w:val="1"/>
                <w:szCs w:val="1"/>
                <w:color w:val="auto"/>
              </w:rPr>
            </w:pPr>
          </w:p>
        </w:tc>
      </w:tr>
      <w:tr>
        <w:trPr>
          <w:trHeight w:val="237"/>
        </w:trPr>
        <w:tc>
          <w:tcPr>
            <w:tcW w:w="9240" w:type="dxa"/>
            <w:vAlign w:val="bottom"/>
            <w:shd w:val="clear" w:color="auto" w:fill="DEEAF6"/>
          </w:tcPr>
          <w:p>
            <w:pPr>
              <w:ind w:left="120"/>
              <w:spacing w:after="0"/>
              <w:rPr>
                <w:sz w:val="20"/>
                <w:szCs w:val="20"/>
                <w:color w:val="auto"/>
              </w:rPr>
            </w:pPr>
            <w:r>
              <w:rPr>
                <w:rFonts w:ascii="Arial" w:cs="Arial" w:eastAsia="Arial" w:hAnsi="Arial"/>
                <w:sz w:val="18"/>
                <w:szCs w:val="18"/>
                <w:color w:val="auto"/>
                <w:w w:val="92"/>
              </w:rPr>
              <w:t>Expand the cumulative value of lead product candidates as represented through net present values of target product profiles</w:t>
            </w:r>
          </w:p>
        </w:tc>
        <w:tc>
          <w:tcPr>
            <w:tcW w:w="20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37"/>
        </w:trPr>
        <w:tc>
          <w:tcPr>
            <w:tcW w:w="9240" w:type="dxa"/>
            <w:vAlign w:val="bottom"/>
          </w:tcPr>
          <w:p>
            <w:pPr>
              <w:ind w:left="120"/>
              <w:spacing w:after="0"/>
              <w:rPr>
                <w:sz w:val="20"/>
                <w:szCs w:val="20"/>
                <w:color w:val="auto"/>
              </w:rPr>
            </w:pPr>
            <w:r>
              <w:rPr>
                <w:rFonts w:ascii="Arial" w:cs="Arial" w:eastAsia="Arial" w:hAnsi="Arial"/>
                <w:sz w:val="18"/>
                <w:szCs w:val="18"/>
                <w:color w:val="auto"/>
              </w:rPr>
              <w:t>Establish leading capabilities for late-stage readiness and origination of new lead product candidates</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49"/>
        </w:trPr>
        <w:tc>
          <w:tcPr>
            <w:tcW w:w="92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Increase value of early product portfolio and NAV Technology Platform</w:t>
            </w:r>
          </w:p>
        </w:tc>
        <w:tc>
          <w:tcPr>
            <w:tcW w:w="20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37"/>
        </w:trPr>
        <w:tc>
          <w:tcPr>
            <w:tcW w:w="9240" w:type="dxa"/>
            <w:vAlign w:val="bottom"/>
          </w:tcPr>
          <w:p>
            <w:pPr>
              <w:ind w:left="120"/>
              <w:spacing w:after="0"/>
              <w:rPr>
                <w:sz w:val="20"/>
                <w:szCs w:val="20"/>
                <w:color w:val="auto"/>
              </w:rPr>
            </w:pPr>
            <w:r>
              <w:rPr>
                <w:rFonts w:ascii="Arial" w:cs="Arial" w:eastAsia="Arial" w:hAnsi="Arial"/>
                <w:sz w:val="18"/>
                <w:szCs w:val="18"/>
                <w:color w:val="auto"/>
              </w:rPr>
              <w:t>Advance organizational culture objectives as outlined in five-year plan</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21"/>
        </w:trPr>
        <w:tc>
          <w:tcPr>
            <w:tcW w:w="92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Maintain financial strength of the Company to achieve corporate objectives and expand value of NAV Technology</w:t>
            </w:r>
          </w:p>
        </w:tc>
        <w:tc>
          <w:tcPr>
            <w:tcW w:w="20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30"/>
        </w:trPr>
        <w:tc>
          <w:tcPr>
            <w:tcW w:w="9240" w:type="dxa"/>
            <w:vAlign w:val="bottom"/>
            <w:tcBorders>
              <w:bottom w:val="single" w:sz="8" w:color="DEEAF6"/>
            </w:tcBorders>
            <w:shd w:val="clear" w:color="auto" w:fill="DEEAF6"/>
          </w:tcPr>
          <w:p>
            <w:pPr>
              <w:ind w:left="120"/>
              <w:spacing w:after="0"/>
              <w:rPr>
                <w:sz w:val="20"/>
                <w:szCs w:val="20"/>
                <w:color w:val="auto"/>
              </w:rPr>
            </w:pPr>
            <w:r>
              <w:rPr>
                <w:rFonts w:ascii="Arial" w:cs="Arial" w:eastAsia="Arial" w:hAnsi="Arial"/>
                <w:sz w:val="18"/>
                <w:szCs w:val="18"/>
                <w:color w:val="auto"/>
              </w:rPr>
              <w:t>Platform</w:t>
            </w:r>
          </w:p>
        </w:tc>
        <w:tc>
          <w:tcPr>
            <w:tcW w:w="2000" w:type="dxa"/>
            <w:vAlign w:val="bottom"/>
            <w:tcBorders>
              <w:bottom w:val="single" w:sz="8" w:color="auto"/>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Individual Objectives</w:t>
      </w:r>
    </w:p>
    <w:p>
      <w:pPr>
        <w:spacing w:after="0" w:line="22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Our President and CEO, in consultation with our other NEOs, identified individual objectives for each of our other NEOs near the beginning of 2022 that were specific to each of their respective areas of responsibility and supported meeting our corporate objectives. These individual objectives were then recommended to and approved by our Compensation Committee. At the time of approval, the Compensation Committee believed these objectives were challenging, but attainable, and that attainment was uncertain.</w:t>
      </w:r>
    </w:p>
    <w:p>
      <w:pPr>
        <w:spacing w:after="0" w:line="187"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Our Compensation Committee, with input from our President and CEO, made a determination following the end of the year as to the level of achievement of the respective individual objectives by each of our NEOs, other than our President and CEO.</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Determining Payouts of Annual Cash Incentives</w:t>
      </w:r>
    </w:p>
    <w:p>
      <w:pPr>
        <w:spacing w:after="0" w:line="225" w:lineRule="exact"/>
        <w:rPr>
          <w:sz w:val="20"/>
          <w:szCs w:val="20"/>
          <w:color w:val="auto"/>
        </w:rPr>
      </w:pPr>
    </w:p>
    <w:p>
      <w:pPr>
        <w:jc w:val="both"/>
        <w:ind w:right="280" w:firstLine="749"/>
        <w:spacing w:after="0" w:line="259" w:lineRule="auto"/>
        <w:rPr>
          <w:sz w:val="20"/>
          <w:szCs w:val="20"/>
          <w:color w:val="auto"/>
        </w:rPr>
      </w:pPr>
      <w:r>
        <w:rPr>
          <w:rFonts w:ascii="Arial" w:cs="Arial" w:eastAsia="Arial" w:hAnsi="Arial"/>
          <w:sz w:val="18"/>
          <w:szCs w:val="18"/>
          <w:color w:val="auto"/>
        </w:rPr>
        <w:t>With respect to our 2022 corporate objectives, our Board and Compensation Committee determined that we achieved a payout percentage of 90%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meeting our corporate objectives.</w:t>
      </w:r>
    </w:p>
    <w:p>
      <w:pPr>
        <w:spacing w:after="0" w:line="18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determination of the Board and Compensation Committee regarding our performance relative to each corporate objective is shown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7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Performance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Corporate Objective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of Corporate</w:t>
            </w:r>
          </w:p>
        </w:tc>
        <w:tc>
          <w:tcPr>
            <w:tcW w:w="170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Objective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Objectives)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Achieved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DEEAF6"/>
          </w:tcPr>
          <w:p>
            <w:pPr>
              <w:ind w:left="120"/>
              <w:spacing w:after="0"/>
              <w:rPr>
                <w:sz w:val="20"/>
                <w:szCs w:val="20"/>
                <w:color w:val="auto"/>
              </w:rPr>
            </w:pPr>
            <w:r>
              <w:rPr>
                <w:rFonts w:ascii="Arial" w:cs="Arial" w:eastAsia="Arial" w:hAnsi="Arial"/>
                <w:sz w:val="18"/>
                <w:szCs w:val="18"/>
                <w:color w:val="auto"/>
                <w:w w:val="95"/>
              </w:rPr>
              <w:t>Expand the cumulative value of lead product candidates as represented through net</w:t>
            </w:r>
          </w:p>
        </w:tc>
        <w:tc>
          <w:tcPr>
            <w:tcW w:w="14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Substantially</w:t>
            </w:r>
          </w:p>
        </w:tc>
        <w:tc>
          <w:tcPr>
            <w:tcW w:w="14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40%</w:t>
            </w:r>
          </w:p>
        </w:tc>
        <w:tc>
          <w:tcPr>
            <w:tcW w:w="220" w:type="dxa"/>
            <w:vAlign w:val="bottom"/>
            <w:shd w:val="clear" w:color="auto" w:fill="DEEAF6"/>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44"/>
        </w:trPr>
        <w:tc>
          <w:tcPr>
            <w:tcW w:w="6500" w:type="dxa"/>
            <w:vAlign w:val="bottom"/>
            <w:shd w:val="clear" w:color="auto" w:fill="DEEAF6"/>
          </w:tcPr>
          <w:p>
            <w:pPr>
              <w:ind w:left="120"/>
              <w:spacing w:after="0"/>
              <w:rPr>
                <w:sz w:val="20"/>
                <w:szCs w:val="20"/>
                <w:color w:val="auto"/>
              </w:rPr>
            </w:pPr>
            <w:r>
              <w:rPr>
                <w:rFonts w:ascii="Arial" w:cs="Arial" w:eastAsia="Arial" w:hAnsi="Arial"/>
                <w:sz w:val="18"/>
                <w:szCs w:val="18"/>
                <w:color w:val="auto"/>
              </w:rPr>
              <w:t>present values of target product profiles</w:t>
            </w:r>
          </w:p>
        </w:tc>
        <w:tc>
          <w:tcPr>
            <w:tcW w:w="1420" w:type="dxa"/>
            <w:vAlign w:val="bottom"/>
            <w:shd w:val="clear" w:color="auto" w:fill="DEEAF6"/>
          </w:tcPr>
          <w:p>
            <w:pPr>
              <w:spacing w:after="0"/>
              <w:rPr>
                <w:sz w:val="21"/>
                <w:szCs w:val="21"/>
                <w:color w:val="auto"/>
              </w:rPr>
            </w:pPr>
          </w:p>
        </w:tc>
        <w:tc>
          <w:tcPr>
            <w:tcW w:w="17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Achieved</w:t>
            </w:r>
          </w:p>
        </w:tc>
        <w:tc>
          <w:tcPr>
            <w:tcW w:w="1400" w:type="dxa"/>
            <w:vAlign w:val="bottom"/>
            <w:shd w:val="clear" w:color="auto" w:fill="DEEAF6"/>
          </w:tcPr>
          <w:p>
            <w:pPr>
              <w:spacing w:after="0"/>
              <w:rPr>
                <w:sz w:val="21"/>
                <w:szCs w:val="21"/>
                <w:color w:val="auto"/>
              </w:rPr>
            </w:pPr>
          </w:p>
        </w:tc>
        <w:tc>
          <w:tcPr>
            <w:tcW w:w="220" w:type="dxa"/>
            <w:vAlign w:val="bottom"/>
            <w:shd w:val="clear" w:color="auto" w:fill="DEEAF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8"/>
                <w:szCs w:val="18"/>
                <w:color w:val="auto"/>
                <w:w w:val="98"/>
              </w:rPr>
              <w:t>Establish leading capabilities for late-stage readiness and origination of new lead</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Achieved</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product candidates</w:t>
            </w: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00" w:type="dxa"/>
            <w:vAlign w:val="bottom"/>
            <w:shd w:val="clear" w:color="auto" w:fill="DEEAF6"/>
          </w:tcPr>
          <w:p>
            <w:pPr>
              <w:ind w:left="120"/>
              <w:spacing w:after="0"/>
              <w:rPr>
                <w:sz w:val="20"/>
                <w:szCs w:val="20"/>
                <w:color w:val="auto"/>
              </w:rPr>
            </w:pPr>
            <w:r>
              <w:rPr>
                <w:rFonts w:ascii="Arial" w:cs="Arial" w:eastAsia="Arial" w:hAnsi="Arial"/>
                <w:sz w:val="18"/>
                <w:szCs w:val="18"/>
                <w:color w:val="auto"/>
              </w:rPr>
              <w:t>Increase value of early product portfolio and NAV Technology Platform</w:t>
            </w:r>
          </w:p>
        </w:tc>
        <w:tc>
          <w:tcPr>
            <w:tcW w:w="14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15%</w:t>
            </w:r>
          </w:p>
        </w:tc>
        <w:tc>
          <w:tcPr>
            <w:tcW w:w="17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Achieved</w:t>
            </w:r>
          </w:p>
        </w:tc>
        <w:tc>
          <w:tcPr>
            <w:tcW w:w="14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15%</w:t>
            </w:r>
          </w:p>
        </w:tc>
        <w:tc>
          <w:tcPr>
            <w:tcW w:w="220" w:type="dxa"/>
            <w:vAlign w:val="bottom"/>
            <w:shd w:val="clear" w:color="auto" w:fill="DEEAF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Advance organizational culture objectives as outlined in five-year plan</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Achieved</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DEEAF6"/>
          </w:tcPr>
          <w:p>
            <w:pPr>
              <w:ind w:left="120"/>
              <w:spacing w:after="0"/>
              <w:rPr>
                <w:sz w:val="20"/>
                <w:szCs w:val="20"/>
                <w:color w:val="auto"/>
              </w:rPr>
            </w:pPr>
            <w:r>
              <w:rPr>
                <w:rFonts w:ascii="Arial" w:cs="Arial" w:eastAsia="Arial" w:hAnsi="Arial"/>
                <w:sz w:val="18"/>
                <w:szCs w:val="18"/>
                <w:color w:val="auto"/>
              </w:rPr>
              <w:t>Maintain financial strength of the Company to achieve corporate objectives and</w:t>
            </w:r>
          </w:p>
        </w:tc>
        <w:tc>
          <w:tcPr>
            <w:tcW w:w="14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10%</w:t>
            </w:r>
          </w:p>
        </w:tc>
        <w:tc>
          <w:tcPr>
            <w:tcW w:w="17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Achieved</w:t>
            </w:r>
          </w:p>
        </w:tc>
        <w:tc>
          <w:tcPr>
            <w:tcW w:w="14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shd w:val="clear" w:color="auto" w:fill="DEEAF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DEEAF6"/>
            </w:tcBorders>
            <w:shd w:val="clear" w:color="auto" w:fill="DEEAF6"/>
          </w:tcPr>
          <w:p>
            <w:pPr>
              <w:ind w:left="120"/>
              <w:spacing w:after="0"/>
              <w:rPr>
                <w:sz w:val="20"/>
                <w:szCs w:val="20"/>
                <w:color w:val="auto"/>
              </w:rPr>
            </w:pPr>
            <w:r>
              <w:rPr>
                <w:rFonts w:ascii="Arial" w:cs="Arial" w:eastAsia="Arial" w:hAnsi="Arial"/>
                <w:sz w:val="18"/>
                <w:szCs w:val="18"/>
                <w:color w:val="auto"/>
              </w:rPr>
              <w:t>expand value of NAV Technology Platform</w:t>
            </w:r>
          </w:p>
        </w:tc>
        <w:tc>
          <w:tcPr>
            <w:tcW w:w="1420" w:type="dxa"/>
            <w:vAlign w:val="bottom"/>
            <w:tcBorders>
              <w:bottom w:val="single" w:sz="8" w:color="auto"/>
            </w:tcBorders>
            <w:shd w:val="clear" w:color="auto" w:fill="DEEAF6"/>
          </w:tcPr>
          <w:p>
            <w:pPr>
              <w:spacing w:after="0"/>
              <w:rPr>
                <w:sz w:val="20"/>
                <w:szCs w:val="20"/>
                <w:color w:val="auto"/>
              </w:rPr>
            </w:pPr>
          </w:p>
        </w:tc>
        <w:tc>
          <w:tcPr>
            <w:tcW w:w="1700" w:type="dxa"/>
            <w:vAlign w:val="bottom"/>
            <w:tcBorders>
              <w:bottom w:val="single" w:sz="8" w:color="DEEAF6"/>
            </w:tcBorders>
            <w:shd w:val="clear" w:color="auto" w:fill="DEEAF6"/>
          </w:tcPr>
          <w:p>
            <w:pPr>
              <w:spacing w:after="0"/>
              <w:rPr>
                <w:sz w:val="20"/>
                <w:szCs w:val="20"/>
                <w:color w:val="auto"/>
              </w:rPr>
            </w:pPr>
          </w:p>
        </w:tc>
        <w:tc>
          <w:tcPr>
            <w:tcW w:w="1400" w:type="dxa"/>
            <w:vAlign w:val="bottom"/>
            <w:tcBorders>
              <w:bottom w:val="single" w:sz="8" w:color="auto"/>
            </w:tcBorders>
            <w:shd w:val="clear" w:color="auto" w:fill="DEEAF6"/>
          </w:tcPr>
          <w:p>
            <w:pPr>
              <w:spacing w:after="0"/>
              <w:rPr>
                <w:sz w:val="20"/>
                <w:szCs w:val="20"/>
                <w:color w:val="auto"/>
              </w:rPr>
            </w:pPr>
          </w:p>
        </w:tc>
        <w:tc>
          <w:tcPr>
            <w:tcW w:w="220" w:type="dxa"/>
            <w:vAlign w:val="bottom"/>
            <w:tcBorders>
              <w:bottom w:val="single" w:sz="8" w:color="DEEAF6"/>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5540"/>
              <w:spacing w:after="0"/>
              <w:rPr>
                <w:sz w:val="20"/>
                <w:szCs w:val="20"/>
                <w:color w:val="auto"/>
              </w:rPr>
            </w:pPr>
            <w:r>
              <w:rPr>
                <w:rFonts w:ascii="Arial" w:cs="Arial" w:eastAsia="Arial" w:hAnsi="Arial"/>
                <w:sz w:val="18"/>
                <w:szCs w:val="18"/>
                <w:color w:val="auto"/>
              </w:rPr>
              <w:t>33</w:t>
            </w:r>
          </w:p>
        </w:tc>
        <w:tc>
          <w:tcPr>
            <w:tcW w:w="14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-685165</wp:posOffset>
            </wp:positionV>
            <wp:extent cx="939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-685165</wp:posOffset>
            </wp:positionV>
            <wp:extent cx="13716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760" w:right="280" w:hanging="752"/>
        <w:spacing w:after="0" w:line="32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1851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8255"/>
                    </a:xfrm>
                    <a:prstGeom prst="rect">
                      <a:avLst/>
                    </a:prstGeom>
                    <a:noFill/>
                  </pic:spPr>
                </pic:pic>
              </a:graphicData>
            </a:graphic>
          </wp:anchor>
        </w:drawing>
        <w:t>Due to an unexpected loss of clinical supply with our RGX-202 program in the first quarter of 2022, we did not meet our objective of enrollment and dose escalation. Therefore, management recommended to the Board of Directors a substantially achieved at 40% for this corporate objective.</w:t>
      </w:r>
    </w:p>
    <w:p>
      <w:pPr>
        <w:spacing w:after="0" w:line="140"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Based on the Company’s level of performance in 2022 relative to our corporate goals, and based on the level of performance of each NEO other than our President and CEO in 2022 relative to individual goals, our NEOs earned the cash incentive awards shown in the following table for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Allocation of Cash</w:t>
            </w:r>
          </w:p>
        </w:tc>
        <w:tc>
          <w:tcPr>
            <w:tcW w:w="120" w:type="dxa"/>
            <w:vAlign w:val="bottom"/>
          </w:tcPr>
          <w:p>
            <w:pPr>
              <w:spacing w:after="0"/>
              <w:rPr>
                <w:sz w:val="14"/>
                <w:szCs w:val="14"/>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Percentage of Objective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Incentive Award</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37"/>
              <w:spacing w:after="0"/>
              <w:rPr>
                <w:sz w:val="20"/>
                <w:szCs w:val="20"/>
                <w:color w:val="auto"/>
              </w:rPr>
            </w:pPr>
            <w:r>
              <w:rPr>
                <w:rFonts w:ascii="Arial" w:cs="Arial" w:eastAsia="Arial" w:hAnsi="Arial"/>
                <w:sz w:val="14"/>
                <w:szCs w:val="14"/>
                <w:b w:val="1"/>
                <w:bCs w:val="1"/>
                <w:color w:val="auto"/>
                <w:w w:val="89"/>
              </w:rPr>
              <w:t>Achieved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Target</w:t>
            </w:r>
          </w:p>
        </w:tc>
        <w:tc>
          <w:tcPr>
            <w:tcW w:w="1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6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6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Base Salary</w:t>
            </w: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Award</w:t>
            </w: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Individual</w:t>
            </w:r>
          </w:p>
        </w:tc>
        <w:tc>
          <w:tcPr>
            <w:tcW w:w="120" w:type="dxa"/>
            <w:vAlign w:val="bottom"/>
          </w:tcPr>
          <w:p>
            <w:pPr>
              <w:spacing w:after="0"/>
              <w:rPr>
                <w:sz w:val="12"/>
                <w:szCs w:val="12"/>
                <w:color w:val="auto"/>
              </w:rPr>
            </w:pPr>
          </w:p>
        </w:tc>
        <w:tc>
          <w:tcPr>
            <w:tcW w:w="9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Corporate</w:t>
            </w:r>
          </w:p>
        </w:tc>
        <w:tc>
          <w:tcPr>
            <w:tcW w:w="1520" w:type="dxa"/>
            <w:vAlign w:val="bottom"/>
            <w:vMerge w:val="restart"/>
          </w:tcPr>
          <w:p>
            <w:pPr>
              <w:jc w:val="center"/>
              <w:ind w:left="277"/>
              <w:spacing w:after="0"/>
              <w:rPr>
                <w:sz w:val="20"/>
                <w:szCs w:val="20"/>
                <w:color w:val="auto"/>
              </w:rPr>
            </w:pPr>
            <w:r>
              <w:rPr>
                <w:rFonts w:ascii="Arial" w:cs="Arial" w:eastAsia="Arial" w:hAnsi="Arial"/>
                <w:sz w:val="14"/>
                <w:szCs w:val="14"/>
                <w:b w:val="1"/>
                <w:bCs w:val="1"/>
                <w:color w:val="auto"/>
                <w:w w:val="97"/>
              </w:rPr>
              <w:t>Individual</w:t>
            </w:r>
          </w:p>
        </w:tc>
        <w:tc>
          <w:tcPr>
            <w:tcW w:w="126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Award for</w:t>
            </w:r>
          </w:p>
        </w:tc>
        <w:tc>
          <w:tcPr>
            <w:tcW w:w="0" w:type="dxa"/>
            <w:vAlign w:val="bottom"/>
          </w:tcPr>
          <w:p>
            <w:pPr>
              <w:spacing w:after="0"/>
              <w:rPr>
                <w:sz w:val="1"/>
                <w:szCs w:val="1"/>
                <w:color w:val="auto"/>
              </w:rPr>
            </w:pPr>
          </w:p>
        </w:tc>
      </w:tr>
      <w:tr>
        <w:trPr>
          <w:trHeight w:val="148"/>
        </w:trPr>
        <w:tc>
          <w:tcPr>
            <w:tcW w:w="2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148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of Base</w:t>
            </w:r>
          </w:p>
        </w:tc>
        <w:tc>
          <w:tcPr>
            <w:tcW w:w="12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5"/>
        </w:trPr>
        <w:tc>
          <w:tcPr>
            <w:tcW w:w="2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Salary)</w:t>
            </w: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Objectives</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Objectives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Objectives</w:t>
            </w:r>
          </w:p>
        </w:tc>
        <w:tc>
          <w:tcPr>
            <w:tcW w:w="1520" w:type="dxa"/>
            <w:vAlign w:val="bottom"/>
            <w:tcBorders>
              <w:bottom w:val="single" w:sz="8" w:color="auto"/>
            </w:tcBorders>
          </w:tcPr>
          <w:p>
            <w:pPr>
              <w:jc w:val="center"/>
              <w:ind w:left="277"/>
              <w:spacing w:after="0"/>
              <w:rPr>
                <w:sz w:val="20"/>
                <w:szCs w:val="20"/>
                <w:color w:val="auto"/>
              </w:rPr>
            </w:pPr>
            <w:r>
              <w:rPr>
                <w:rFonts w:ascii="Arial" w:cs="Arial" w:eastAsia="Arial" w:hAnsi="Arial"/>
                <w:sz w:val="14"/>
                <w:szCs w:val="14"/>
                <w:b w:val="1"/>
                <w:bCs w:val="1"/>
                <w:color w:val="auto"/>
                <w:w w:val="90"/>
              </w:rPr>
              <w:t>Objectives</w:t>
            </w:r>
          </w:p>
        </w:tc>
        <w:tc>
          <w:tcPr>
            <w:tcW w:w="126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1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1480" w:type="dxa"/>
            <w:vAlign w:val="bottom"/>
            <w:shd w:val="clear" w:color="auto" w:fill="DEEAF6"/>
          </w:tcPr>
          <w:p>
            <w:pPr>
              <w:jc w:val="center"/>
              <w:ind w:left="95"/>
              <w:spacing w:after="0"/>
              <w:rPr>
                <w:sz w:val="20"/>
                <w:szCs w:val="20"/>
                <w:color w:val="auto"/>
              </w:rPr>
            </w:pPr>
            <w:r>
              <w:rPr>
                <w:rFonts w:ascii="Arial" w:cs="Arial" w:eastAsia="Arial" w:hAnsi="Arial"/>
                <w:sz w:val="18"/>
                <w:szCs w:val="18"/>
                <w:color w:val="auto"/>
                <w:w w:val="89"/>
              </w:rPr>
              <w:t>650,759</w:t>
            </w:r>
          </w:p>
        </w:tc>
        <w:tc>
          <w:tcPr>
            <w:tcW w:w="13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60%</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1"/>
              </w:rPr>
              <w:t>100%</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DEEAF6"/>
          </w:tcPr>
          <w:p>
            <w:pPr>
              <w:jc w:val="center"/>
              <w:ind w:left="270"/>
              <w:spacing w:after="0"/>
              <w:rPr>
                <w:sz w:val="20"/>
                <w:szCs w:val="20"/>
                <w:color w:val="auto"/>
              </w:rPr>
            </w:pPr>
            <w:r>
              <w:rPr>
                <w:rFonts w:ascii="Arial" w:cs="Arial" w:eastAsia="Arial" w:hAnsi="Arial"/>
                <w:sz w:val="18"/>
                <w:szCs w:val="18"/>
                <w:color w:val="auto"/>
                <w:w w:val="94"/>
              </w:rPr>
              <w:t>90%</w:t>
            </w:r>
          </w:p>
        </w:tc>
        <w:tc>
          <w:tcPr>
            <w:tcW w:w="1520" w:type="dxa"/>
            <w:vAlign w:val="bottom"/>
            <w:shd w:val="clear" w:color="auto" w:fill="DEEAF6"/>
          </w:tcPr>
          <w:p>
            <w:pPr>
              <w:jc w:val="center"/>
              <w:ind w:left="277"/>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DEEAF6"/>
          </w:tcPr>
          <w:p>
            <w:pPr>
              <w:jc w:val="center"/>
              <w:ind w:left="39"/>
              <w:spacing w:after="0"/>
              <w:rPr>
                <w:sz w:val="20"/>
                <w:szCs w:val="20"/>
                <w:color w:val="auto"/>
              </w:rPr>
            </w:pPr>
            <w:r>
              <w:rPr>
                <w:rFonts w:ascii="Arial" w:cs="Arial" w:eastAsia="Arial" w:hAnsi="Arial"/>
                <w:sz w:val="18"/>
                <w:szCs w:val="18"/>
                <w:color w:val="auto"/>
                <w:w w:val="89"/>
              </w:rPr>
              <w:t>351,410</w:t>
            </w:r>
          </w:p>
        </w:tc>
        <w:tc>
          <w:tcPr>
            <w:tcW w:w="0" w:type="dxa"/>
            <w:vAlign w:val="bottom"/>
          </w:tcPr>
          <w:p>
            <w:pPr>
              <w:spacing w:after="0"/>
              <w:rPr>
                <w:sz w:val="1"/>
                <w:szCs w:val="1"/>
                <w:color w:val="auto"/>
              </w:rPr>
            </w:pPr>
          </w:p>
        </w:tc>
      </w:tr>
      <w:tr>
        <w:trPr>
          <w:trHeight w:val="237"/>
        </w:trPr>
        <w:tc>
          <w:tcPr>
            <w:tcW w:w="216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1480" w:type="dxa"/>
            <w:vAlign w:val="bottom"/>
          </w:tcPr>
          <w:p>
            <w:pPr>
              <w:jc w:val="center"/>
              <w:ind w:left="95"/>
              <w:spacing w:after="0"/>
              <w:rPr>
                <w:sz w:val="20"/>
                <w:szCs w:val="20"/>
                <w:color w:val="auto"/>
              </w:rPr>
            </w:pPr>
            <w:r>
              <w:rPr>
                <w:rFonts w:ascii="Arial" w:cs="Arial" w:eastAsia="Arial" w:hAnsi="Arial"/>
                <w:sz w:val="18"/>
                <w:szCs w:val="18"/>
                <w:color w:val="auto"/>
                <w:w w:val="89"/>
              </w:rPr>
              <w:t>480,787</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90%</w:t>
            </w:r>
          </w:p>
        </w:tc>
        <w:tc>
          <w:tcPr>
            <w:tcW w:w="1520" w:type="dxa"/>
            <w:vAlign w:val="bottom"/>
          </w:tcPr>
          <w:p>
            <w:pPr>
              <w:jc w:val="center"/>
              <w:ind w:left="277"/>
              <w:spacing w:after="0"/>
              <w:rPr>
                <w:sz w:val="20"/>
                <w:szCs w:val="20"/>
                <w:color w:val="auto"/>
              </w:rPr>
            </w:pPr>
            <w:r>
              <w:rPr>
                <w:rFonts w:ascii="Arial" w:cs="Arial" w:eastAsia="Arial" w:hAnsi="Arial"/>
                <w:sz w:val="18"/>
                <w:szCs w:val="18"/>
                <w:color w:val="auto"/>
                <w:w w:val="88"/>
              </w:rPr>
              <w:t>90%</w:t>
            </w:r>
          </w:p>
        </w:tc>
        <w:tc>
          <w:tcPr>
            <w:tcW w:w="1260" w:type="dxa"/>
            <w:vAlign w:val="bottom"/>
          </w:tcPr>
          <w:p>
            <w:pPr>
              <w:jc w:val="center"/>
              <w:ind w:left="39"/>
              <w:spacing w:after="0"/>
              <w:rPr>
                <w:sz w:val="20"/>
                <w:szCs w:val="20"/>
                <w:color w:val="auto"/>
              </w:rPr>
            </w:pPr>
            <w:r>
              <w:rPr>
                <w:rFonts w:ascii="Arial" w:cs="Arial" w:eastAsia="Arial" w:hAnsi="Arial"/>
                <w:sz w:val="18"/>
                <w:szCs w:val="18"/>
                <w:color w:val="auto"/>
                <w:w w:val="89"/>
              </w:rPr>
              <w:t>173,083</w:t>
            </w:r>
          </w:p>
        </w:tc>
        <w:tc>
          <w:tcPr>
            <w:tcW w:w="0" w:type="dxa"/>
            <w:vAlign w:val="bottom"/>
          </w:tcPr>
          <w:p>
            <w:pPr>
              <w:spacing w:after="0"/>
              <w:rPr>
                <w:sz w:val="1"/>
                <w:szCs w:val="1"/>
                <w:color w:val="auto"/>
              </w:rPr>
            </w:pPr>
          </w:p>
        </w:tc>
      </w:tr>
      <w:tr>
        <w:trPr>
          <w:trHeight w:val="249"/>
        </w:trPr>
        <w:tc>
          <w:tcPr>
            <w:tcW w:w="21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1480" w:type="dxa"/>
            <w:vAlign w:val="bottom"/>
            <w:shd w:val="clear" w:color="auto" w:fill="DEEAF6"/>
          </w:tcPr>
          <w:p>
            <w:pPr>
              <w:jc w:val="center"/>
              <w:ind w:left="95"/>
              <w:spacing w:after="0"/>
              <w:rPr>
                <w:sz w:val="20"/>
                <w:szCs w:val="20"/>
                <w:color w:val="auto"/>
              </w:rPr>
            </w:pPr>
            <w:r>
              <w:rPr>
                <w:rFonts w:ascii="Arial" w:cs="Arial" w:eastAsia="Arial" w:hAnsi="Arial"/>
                <w:sz w:val="18"/>
                <w:szCs w:val="18"/>
                <w:color w:val="auto"/>
                <w:w w:val="89"/>
              </w:rPr>
              <w:t>474,933</w:t>
            </w:r>
          </w:p>
        </w:tc>
        <w:tc>
          <w:tcPr>
            <w:tcW w:w="13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40%</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75%</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gridSpan w:val="2"/>
            <w:shd w:val="clear" w:color="auto" w:fill="DEEAF6"/>
          </w:tcPr>
          <w:p>
            <w:pPr>
              <w:jc w:val="center"/>
              <w:ind w:left="270"/>
              <w:spacing w:after="0"/>
              <w:rPr>
                <w:sz w:val="20"/>
                <w:szCs w:val="20"/>
                <w:color w:val="auto"/>
              </w:rPr>
            </w:pPr>
            <w:r>
              <w:rPr>
                <w:rFonts w:ascii="Arial" w:cs="Arial" w:eastAsia="Arial" w:hAnsi="Arial"/>
                <w:sz w:val="18"/>
                <w:szCs w:val="18"/>
                <w:color w:val="auto"/>
                <w:w w:val="94"/>
              </w:rPr>
              <w:t>90%</w:t>
            </w:r>
          </w:p>
        </w:tc>
        <w:tc>
          <w:tcPr>
            <w:tcW w:w="1520" w:type="dxa"/>
            <w:vAlign w:val="bottom"/>
            <w:shd w:val="clear" w:color="auto" w:fill="DEEAF6"/>
          </w:tcPr>
          <w:p>
            <w:pPr>
              <w:jc w:val="center"/>
              <w:ind w:left="257"/>
              <w:spacing w:after="0"/>
              <w:rPr>
                <w:sz w:val="20"/>
                <w:szCs w:val="20"/>
                <w:color w:val="auto"/>
              </w:rPr>
            </w:pPr>
            <w:r>
              <w:rPr>
                <w:rFonts w:ascii="Arial" w:cs="Arial" w:eastAsia="Arial" w:hAnsi="Arial"/>
                <w:sz w:val="18"/>
                <w:szCs w:val="18"/>
                <w:color w:val="auto"/>
                <w:w w:val="91"/>
              </w:rPr>
              <w:t>120%</w:t>
            </w:r>
          </w:p>
        </w:tc>
        <w:tc>
          <w:tcPr>
            <w:tcW w:w="1260" w:type="dxa"/>
            <w:vAlign w:val="bottom"/>
            <w:shd w:val="clear" w:color="auto" w:fill="DEEAF6"/>
          </w:tcPr>
          <w:p>
            <w:pPr>
              <w:jc w:val="center"/>
              <w:ind w:left="39"/>
              <w:spacing w:after="0"/>
              <w:rPr>
                <w:sz w:val="20"/>
                <w:szCs w:val="20"/>
                <w:color w:val="auto"/>
              </w:rPr>
            </w:pPr>
            <w:r>
              <w:rPr>
                <w:rFonts w:ascii="Arial" w:cs="Arial" w:eastAsia="Arial" w:hAnsi="Arial"/>
                <w:sz w:val="18"/>
                <w:szCs w:val="18"/>
                <w:color w:val="auto"/>
                <w:w w:val="89"/>
              </w:rPr>
              <w:t>185,224</w:t>
            </w:r>
          </w:p>
        </w:tc>
        <w:tc>
          <w:tcPr>
            <w:tcW w:w="0" w:type="dxa"/>
            <w:vAlign w:val="bottom"/>
          </w:tcPr>
          <w:p>
            <w:pPr>
              <w:spacing w:after="0"/>
              <w:rPr>
                <w:sz w:val="1"/>
                <w:szCs w:val="1"/>
                <w:color w:val="auto"/>
              </w:rPr>
            </w:pPr>
          </w:p>
        </w:tc>
      </w:tr>
      <w:tr>
        <w:trPr>
          <w:trHeight w:val="237"/>
        </w:trPr>
        <w:tc>
          <w:tcPr>
            <w:tcW w:w="216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1480" w:type="dxa"/>
            <w:vAlign w:val="bottom"/>
          </w:tcPr>
          <w:p>
            <w:pPr>
              <w:jc w:val="center"/>
              <w:ind w:left="95"/>
              <w:spacing w:after="0"/>
              <w:rPr>
                <w:sz w:val="20"/>
                <w:szCs w:val="20"/>
                <w:color w:val="auto"/>
              </w:rPr>
            </w:pPr>
            <w:r>
              <w:rPr>
                <w:rFonts w:ascii="Arial" w:cs="Arial" w:eastAsia="Arial" w:hAnsi="Arial"/>
                <w:sz w:val="18"/>
                <w:szCs w:val="18"/>
                <w:color w:val="auto"/>
                <w:w w:val="89"/>
              </w:rPr>
              <w:t>478,996</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90%</w:t>
            </w:r>
          </w:p>
        </w:tc>
        <w:tc>
          <w:tcPr>
            <w:tcW w:w="1520" w:type="dxa"/>
            <w:vAlign w:val="bottom"/>
          </w:tcPr>
          <w:p>
            <w:pPr>
              <w:jc w:val="center"/>
              <w:ind w:left="257"/>
              <w:spacing w:after="0"/>
              <w:rPr>
                <w:sz w:val="20"/>
                <w:szCs w:val="20"/>
                <w:color w:val="auto"/>
              </w:rPr>
            </w:pPr>
            <w:r>
              <w:rPr>
                <w:rFonts w:ascii="Arial" w:cs="Arial" w:eastAsia="Arial" w:hAnsi="Arial"/>
                <w:sz w:val="18"/>
                <w:szCs w:val="18"/>
                <w:color w:val="auto"/>
                <w:w w:val="91"/>
              </w:rPr>
              <w:t>100%</w:t>
            </w:r>
          </w:p>
        </w:tc>
        <w:tc>
          <w:tcPr>
            <w:tcW w:w="1260" w:type="dxa"/>
            <w:vAlign w:val="bottom"/>
          </w:tcPr>
          <w:p>
            <w:pPr>
              <w:jc w:val="center"/>
              <w:ind w:left="39"/>
              <w:spacing w:after="0"/>
              <w:rPr>
                <w:sz w:val="20"/>
                <w:szCs w:val="20"/>
                <w:color w:val="auto"/>
              </w:rPr>
            </w:pPr>
            <w:r>
              <w:rPr>
                <w:rFonts w:ascii="Arial" w:cs="Arial" w:eastAsia="Arial" w:hAnsi="Arial"/>
                <w:sz w:val="18"/>
                <w:szCs w:val="18"/>
                <w:color w:val="auto"/>
                <w:w w:val="89"/>
              </w:rPr>
              <w:t>177,229</w:t>
            </w:r>
          </w:p>
        </w:tc>
        <w:tc>
          <w:tcPr>
            <w:tcW w:w="0" w:type="dxa"/>
            <w:vAlign w:val="bottom"/>
          </w:tcPr>
          <w:p>
            <w:pPr>
              <w:spacing w:after="0"/>
              <w:rPr>
                <w:sz w:val="1"/>
                <w:szCs w:val="1"/>
                <w:color w:val="auto"/>
              </w:rPr>
            </w:pPr>
          </w:p>
        </w:tc>
      </w:tr>
      <w:tr>
        <w:trPr>
          <w:trHeight w:val="249"/>
        </w:trPr>
        <w:tc>
          <w:tcPr>
            <w:tcW w:w="21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1480" w:type="dxa"/>
            <w:vAlign w:val="bottom"/>
            <w:shd w:val="clear" w:color="auto" w:fill="DEEAF6"/>
          </w:tcPr>
          <w:p>
            <w:pPr>
              <w:jc w:val="center"/>
              <w:ind w:left="95"/>
              <w:spacing w:after="0"/>
              <w:rPr>
                <w:sz w:val="20"/>
                <w:szCs w:val="20"/>
                <w:color w:val="auto"/>
              </w:rPr>
            </w:pPr>
            <w:r>
              <w:rPr>
                <w:rFonts w:ascii="Arial" w:cs="Arial" w:eastAsia="Arial" w:hAnsi="Arial"/>
                <w:sz w:val="18"/>
                <w:szCs w:val="18"/>
                <w:color w:val="auto"/>
                <w:w w:val="89"/>
              </w:rPr>
              <w:t>482,940</w:t>
            </w:r>
          </w:p>
        </w:tc>
        <w:tc>
          <w:tcPr>
            <w:tcW w:w="13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4"/>
              </w:rPr>
              <w:t>40%</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75%</w:t>
            </w:r>
          </w:p>
        </w:tc>
        <w:tc>
          <w:tcPr>
            <w:tcW w:w="12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8"/>
              </w:rPr>
              <w:t>25%</w:t>
            </w:r>
          </w:p>
        </w:tc>
        <w:tc>
          <w:tcPr>
            <w:tcW w:w="1020" w:type="dxa"/>
            <w:vAlign w:val="bottom"/>
            <w:gridSpan w:val="2"/>
            <w:shd w:val="clear" w:color="auto" w:fill="DEEAF6"/>
          </w:tcPr>
          <w:p>
            <w:pPr>
              <w:jc w:val="center"/>
              <w:ind w:left="270"/>
              <w:spacing w:after="0"/>
              <w:rPr>
                <w:sz w:val="20"/>
                <w:szCs w:val="20"/>
                <w:color w:val="auto"/>
              </w:rPr>
            </w:pPr>
            <w:r>
              <w:rPr>
                <w:rFonts w:ascii="Arial" w:cs="Arial" w:eastAsia="Arial" w:hAnsi="Arial"/>
                <w:sz w:val="18"/>
                <w:szCs w:val="18"/>
                <w:color w:val="auto"/>
                <w:w w:val="94"/>
              </w:rPr>
              <w:t>90%</w:t>
            </w:r>
          </w:p>
        </w:tc>
        <w:tc>
          <w:tcPr>
            <w:tcW w:w="1520" w:type="dxa"/>
            <w:vAlign w:val="bottom"/>
            <w:shd w:val="clear" w:color="auto" w:fill="DEEAF6"/>
          </w:tcPr>
          <w:p>
            <w:pPr>
              <w:jc w:val="center"/>
              <w:ind w:left="257"/>
              <w:spacing w:after="0"/>
              <w:rPr>
                <w:sz w:val="20"/>
                <w:szCs w:val="20"/>
                <w:color w:val="auto"/>
              </w:rPr>
            </w:pPr>
            <w:r>
              <w:rPr>
                <w:rFonts w:ascii="Arial" w:cs="Arial" w:eastAsia="Arial" w:hAnsi="Arial"/>
                <w:sz w:val="18"/>
                <w:szCs w:val="18"/>
                <w:color w:val="auto"/>
                <w:w w:val="91"/>
              </w:rPr>
              <w:t>100%</w:t>
            </w:r>
          </w:p>
        </w:tc>
        <w:tc>
          <w:tcPr>
            <w:tcW w:w="1260" w:type="dxa"/>
            <w:vAlign w:val="bottom"/>
            <w:shd w:val="clear" w:color="auto" w:fill="DEEAF6"/>
          </w:tcPr>
          <w:p>
            <w:pPr>
              <w:jc w:val="center"/>
              <w:ind w:left="39"/>
              <w:spacing w:after="0"/>
              <w:rPr>
                <w:sz w:val="20"/>
                <w:szCs w:val="20"/>
                <w:color w:val="auto"/>
              </w:rPr>
            </w:pPr>
            <w:r>
              <w:rPr>
                <w:rFonts w:ascii="Arial" w:cs="Arial" w:eastAsia="Arial" w:hAnsi="Arial"/>
                <w:sz w:val="18"/>
                <w:szCs w:val="18"/>
                <w:color w:val="auto"/>
                <w:w w:val="89"/>
              </w:rPr>
              <w:t>178,688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Equity awards are crucial to a competitive compensation program for executives because they act as a powerful retention incentive. Equity ownership in our Company by our NEOs also aligns the interests of our NEOs with those of our stockholders and rewards our NEOs for their contributions to our long-term success.</w:t>
      </w:r>
    </w:p>
    <w:p>
      <w:pPr>
        <w:spacing w:after="0" w:line="184"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In determining the equity incentive awards for our NEOs in 2022, our Board, with respect to our President and CEO, and our Compensation Committee, with respect to our other NEOs, considered the roles and performance of each NEO as well as the benchmarking data and recommendations of the Compensation Committee’s independent compensation consultant, which included information regarding equity compensation received by executives at peer group companies, as well as broader survey data. Based on these considerations, our NEOs received the stock option awards and RSU awards shown in the following table in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 Awards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8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8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rPr>
              <w:t>Grant</w:t>
            </w:r>
          </w:p>
        </w:tc>
        <w:tc>
          <w:tcPr>
            <w:tcW w:w="1180" w:type="dxa"/>
            <w:vAlign w:val="bottom"/>
            <w:vMerge w:val="continue"/>
          </w:tcPr>
          <w:p>
            <w:pPr>
              <w:spacing w:after="0"/>
              <w:rPr>
                <w:sz w:val="12"/>
                <w:szCs w:val="12"/>
                <w:color w:val="auto"/>
              </w:rPr>
            </w:pPr>
          </w:p>
        </w:tc>
        <w:tc>
          <w:tcPr>
            <w:tcW w:w="12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4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4"/>
        </w:trPr>
        <w:tc>
          <w:tcPr>
            <w:tcW w:w="2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1580" w:type="dxa"/>
            <w:vAlign w:val="bottom"/>
            <w:vMerge w:val="continue"/>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1280" w:type="dxa"/>
            <w:vAlign w:val="bottom"/>
          </w:tcPr>
          <w:p>
            <w:pPr>
              <w:jc w:val="center"/>
              <w:ind w:left="23"/>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8"/>
              </w:rPr>
              <w:t>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tcBorders>
              <w:bottom w:val="single" w:sz="8" w:color="auto"/>
            </w:tcBorders>
          </w:tcPr>
          <w:p>
            <w:pPr>
              <w:jc w:val="center"/>
              <w:ind w:left="63"/>
              <w:spacing w:after="0" w:line="18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9"/>
                <w:szCs w:val="19"/>
                <w:b w:val="1"/>
                <w:bCs w:val="1"/>
                <w:color w:val="auto"/>
                <w:w w:val="86"/>
                <w:vertAlign w:val="superscript"/>
              </w:rPr>
              <w:t>(1)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8"/>
              </w:rPr>
              <w:t>Price</w:t>
            </w:r>
            <w:r>
              <w:rPr>
                <w:rFonts w:ascii="Arial" w:cs="Arial" w:eastAsia="Arial" w:hAnsi="Arial"/>
                <w:sz w:val="19"/>
                <w:szCs w:val="19"/>
                <w:b w:val="1"/>
                <w:bCs w:val="1"/>
                <w:color w:val="auto"/>
                <w:w w:val="88"/>
                <w:vertAlign w:val="superscript"/>
              </w:rPr>
              <w:t>(2)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9"/>
                <w:szCs w:val="19"/>
                <w:b w:val="1"/>
                <w:bCs w:val="1"/>
                <w:color w:val="auto"/>
                <w:w w:val="86"/>
                <w:vertAlign w:val="superscript"/>
              </w:rPr>
              <w:t>(1)</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19"/>
                <w:szCs w:val="19"/>
                <w:b w:val="1"/>
                <w:bCs w:val="1"/>
                <w:color w:val="auto"/>
                <w:w w:val="86"/>
                <w:vertAlign w:val="superscript"/>
              </w:rPr>
              <w:t>(1)</w:t>
            </w:r>
          </w:p>
        </w:tc>
        <w:tc>
          <w:tcPr>
            <w:tcW w:w="0" w:type="dxa"/>
            <w:vAlign w:val="bottom"/>
          </w:tcPr>
          <w:p>
            <w:pPr>
              <w:spacing w:after="0"/>
              <w:rPr>
                <w:sz w:val="1"/>
                <w:szCs w:val="1"/>
                <w:color w:val="auto"/>
              </w:rPr>
            </w:pPr>
          </w:p>
        </w:tc>
      </w:tr>
      <w:tr>
        <w:trPr>
          <w:trHeight w:val="223"/>
        </w:trPr>
        <w:tc>
          <w:tcPr>
            <w:tcW w:w="2120" w:type="dxa"/>
            <w:vAlign w:val="bottom"/>
            <w:shd w:val="clear" w:color="auto" w:fill="DEEAF6"/>
          </w:tcPr>
          <w:p>
            <w:pPr>
              <w:ind w:left="120"/>
              <w:spacing w:after="0"/>
              <w:rPr>
                <w:sz w:val="20"/>
                <w:szCs w:val="20"/>
                <w:color w:val="auto"/>
              </w:rPr>
            </w:pPr>
            <w:r>
              <w:rPr>
                <w:rFonts w:ascii="Arial" w:cs="Arial" w:eastAsia="Arial" w:hAnsi="Arial"/>
                <w:sz w:val="16"/>
                <w:szCs w:val="16"/>
                <w:color w:val="auto"/>
              </w:rPr>
              <w:t>Kenneth T. Mills</w:t>
            </w:r>
          </w:p>
        </w:tc>
        <w:tc>
          <w:tcPr>
            <w:tcW w:w="1580" w:type="dxa"/>
            <w:vAlign w:val="bottom"/>
            <w:shd w:val="clear" w:color="auto" w:fill="DEEAF6"/>
          </w:tcPr>
          <w:p>
            <w:pPr>
              <w:jc w:val="center"/>
              <w:ind w:left="82"/>
              <w:spacing w:after="0"/>
              <w:rPr>
                <w:sz w:val="20"/>
                <w:szCs w:val="20"/>
                <w:color w:val="auto"/>
              </w:rPr>
            </w:pPr>
            <w:r>
              <w:rPr>
                <w:rFonts w:ascii="Arial" w:cs="Arial" w:eastAsia="Arial" w:hAnsi="Arial"/>
                <w:sz w:val="16"/>
                <w:szCs w:val="16"/>
                <w:color w:val="auto"/>
                <w:w w:val="93"/>
              </w:rPr>
              <w:t>1/3/2022</w:t>
            </w:r>
          </w:p>
        </w:tc>
        <w:tc>
          <w:tcPr>
            <w:tcW w:w="11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35,796</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89"/>
              </w:rPr>
              <w:t>$1,228,161</w:t>
            </w:r>
          </w:p>
        </w:tc>
        <w:tc>
          <w:tcPr>
            <w:tcW w:w="1220" w:type="dxa"/>
            <w:vAlign w:val="bottom"/>
            <w:gridSpan w:val="2"/>
            <w:shd w:val="clear" w:color="auto" w:fill="DEEAF6"/>
          </w:tcPr>
          <w:p>
            <w:pPr>
              <w:jc w:val="center"/>
              <w:ind w:left="99"/>
              <w:spacing w:after="0"/>
              <w:rPr>
                <w:sz w:val="20"/>
                <w:szCs w:val="20"/>
                <w:color w:val="auto"/>
              </w:rPr>
            </w:pPr>
            <w:r>
              <w:rPr>
                <w:rFonts w:ascii="Arial" w:cs="Arial" w:eastAsia="Arial" w:hAnsi="Arial"/>
                <w:sz w:val="16"/>
                <w:szCs w:val="16"/>
                <w:color w:val="auto"/>
                <w:w w:val="89"/>
              </w:rPr>
              <w:t>$34.31</w:t>
            </w:r>
          </w:p>
        </w:tc>
        <w:tc>
          <w:tcPr>
            <w:tcW w:w="144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170,188</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$3,505,846</w:t>
            </w:r>
          </w:p>
        </w:tc>
        <w:tc>
          <w:tcPr>
            <w:tcW w:w="1260" w:type="dxa"/>
            <w:vAlign w:val="bottom"/>
            <w:gridSpan w:val="2"/>
            <w:shd w:val="clear" w:color="auto" w:fill="DEEAF6"/>
          </w:tcPr>
          <w:p>
            <w:pPr>
              <w:jc w:val="center"/>
              <w:ind w:left="39"/>
              <w:spacing w:after="0"/>
              <w:rPr>
                <w:sz w:val="20"/>
                <w:szCs w:val="20"/>
                <w:color w:val="auto"/>
              </w:rPr>
            </w:pPr>
            <w:r>
              <w:rPr>
                <w:rFonts w:ascii="Arial" w:cs="Arial" w:eastAsia="Arial" w:hAnsi="Arial"/>
                <w:sz w:val="16"/>
                <w:szCs w:val="16"/>
                <w:color w:val="auto"/>
                <w:w w:val="92"/>
              </w:rPr>
              <w:t>$4,734,006</w:t>
            </w:r>
          </w:p>
        </w:tc>
        <w:tc>
          <w:tcPr>
            <w:tcW w:w="0" w:type="dxa"/>
            <w:vAlign w:val="bottom"/>
          </w:tcPr>
          <w:p>
            <w:pPr>
              <w:spacing w:after="0"/>
              <w:rPr>
                <w:sz w:val="1"/>
                <w:szCs w:val="1"/>
                <w:color w:val="auto"/>
              </w:rPr>
            </w:pPr>
          </w:p>
        </w:tc>
      </w:tr>
      <w:tr>
        <w:trPr>
          <w:trHeight w:val="220"/>
        </w:trPr>
        <w:tc>
          <w:tcPr>
            <w:tcW w:w="2120" w:type="dxa"/>
            <w:vAlign w:val="bottom"/>
          </w:tcPr>
          <w:p>
            <w:pPr>
              <w:ind w:left="120"/>
              <w:spacing w:after="0"/>
              <w:rPr>
                <w:sz w:val="20"/>
                <w:szCs w:val="20"/>
                <w:color w:val="auto"/>
              </w:rPr>
            </w:pPr>
            <w:r>
              <w:rPr>
                <w:rFonts w:ascii="Arial" w:cs="Arial" w:eastAsia="Arial" w:hAnsi="Arial"/>
                <w:sz w:val="16"/>
                <w:szCs w:val="16"/>
                <w:color w:val="auto"/>
              </w:rPr>
              <w:t>Vit Vasista</w:t>
            </w:r>
          </w:p>
        </w:tc>
        <w:tc>
          <w:tcPr>
            <w:tcW w:w="1580" w:type="dxa"/>
            <w:vAlign w:val="bottom"/>
          </w:tcPr>
          <w:p>
            <w:pPr>
              <w:jc w:val="center"/>
              <w:ind w:left="82"/>
              <w:spacing w:after="0"/>
              <w:rPr>
                <w:sz w:val="20"/>
                <w:szCs w:val="20"/>
                <w:color w:val="auto"/>
              </w:rPr>
            </w:pPr>
            <w:r>
              <w:rPr>
                <w:rFonts w:ascii="Arial" w:cs="Arial" w:eastAsia="Arial" w:hAnsi="Arial"/>
                <w:sz w:val="16"/>
                <w:szCs w:val="16"/>
                <w:color w:val="auto"/>
                <w:w w:val="93"/>
              </w:rPr>
              <w:t>1/3/2022</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8,900</w:t>
            </w:r>
          </w:p>
        </w:tc>
        <w:tc>
          <w:tcPr>
            <w:tcW w:w="1280" w:type="dxa"/>
            <w:vAlign w:val="bottom"/>
          </w:tcPr>
          <w:p>
            <w:pPr>
              <w:jc w:val="center"/>
              <w:ind w:left="43"/>
              <w:spacing w:after="0"/>
              <w:rPr>
                <w:sz w:val="20"/>
                <w:szCs w:val="20"/>
                <w:color w:val="auto"/>
              </w:rPr>
            </w:pPr>
            <w:r>
              <w:rPr>
                <w:rFonts w:ascii="Arial" w:cs="Arial" w:eastAsia="Arial" w:hAnsi="Arial"/>
                <w:sz w:val="16"/>
                <w:szCs w:val="16"/>
                <w:color w:val="auto"/>
                <w:w w:val="89"/>
              </w:rPr>
              <w:t>$305,359</w:t>
            </w:r>
          </w:p>
        </w:tc>
        <w:tc>
          <w:tcPr>
            <w:tcW w:w="12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$34.31</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42,500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$875,493</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$1,180,852</w:t>
            </w:r>
          </w:p>
        </w:tc>
        <w:tc>
          <w:tcPr>
            <w:tcW w:w="0" w:type="dxa"/>
            <w:vAlign w:val="bottom"/>
          </w:tcPr>
          <w:p>
            <w:pPr>
              <w:spacing w:after="0"/>
              <w:rPr>
                <w:sz w:val="1"/>
                <w:szCs w:val="1"/>
                <w:color w:val="auto"/>
              </w:rPr>
            </w:pPr>
          </w:p>
        </w:tc>
      </w:tr>
      <w:tr>
        <w:trPr>
          <w:trHeight w:val="239"/>
        </w:trPr>
        <w:tc>
          <w:tcPr>
            <w:tcW w:w="2120" w:type="dxa"/>
            <w:vAlign w:val="bottom"/>
            <w:shd w:val="clear" w:color="auto" w:fill="DEEAF6"/>
          </w:tcPr>
          <w:p>
            <w:pPr>
              <w:ind w:left="120"/>
              <w:spacing w:after="0"/>
              <w:rPr>
                <w:sz w:val="20"/>
                <w:szCs w:val="20"/>
                <w:color w:val="auto"/>
              </w:rPr>
            </w:pPr>
            <w:r>
              <w:rPr>
                <w:rFonts w:ascii="Arial" w:cs="Arial" w:eastAsia="Arial" w:hAnsi="Arial"/>
                <w:sz w:val="16"/>
                <w:szCs w:val="16"/>
                <w:color w:val="auto"/>
              </w:rPr>
              <w:t>Curran Simpson</w:t>
            </w:r>
          </w:p>
        </w:tc>
        <w:tc>
          <w:tcPr>
            <w:tcW w:w="1580" w:type="dxa"/>
            <w:vAlign w:val="bottom"/>
            <w:shd w:val="clear" w:color="auto" w:fill="DEEAF6"/>
          </w:tcPr>
          <w:p>
            <w:pPr>
              <w:jc w:val="center"/>
              <w:ind w:left="82"/>
              <w:spacing w:after="0"/>
              <w:rPr>
                <w:sz w:val="20"/>
                <w:szCs w:val="20"/>
                <w:color w:val="auto"/>
              </w:rPr>
            </w:pPr>
            <w:r>
              <w:rPr>
                <w:rFonts w:ascii="Arial" w:cs="Arial" w:eastAsia="Arial" w:hAnsi="Arial"/>
                <w:sz w:val="16"/>
                <w:szCs w:val="16"/>
                <w:color w:val="auto"/>
                <w:w w:val="93"/>
              </w:rPr>
              <w:t>1/3/2022</w:t>
            </w:r>
          </w:p>
        </w:tc>
        <w:tc>
          <w:tcPr>
            <w:tcW w:w="11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10,700</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89"/>
              </w:rPr>
              <w:t>$367,117</w:t>
            </w:r>
          </w:p>
        </w:tc>
        <w:tc>
          <w:tcPr>
            <w:tcW w:w="1220" w:type="dxa"/>
            <w:vAlign w:val="bottom"/>
            <w:gridSpan w:val="2"/>
            <w:shd w:val="clear" w:color="auto" w:fill="DEEAF6"/>
          </w:tcPr>
          <w:p>
            <w:pPr>
              <w:jc w:val="center"/>
              <w:ind w:left="99"/>
              <w:spacing w:after="0"/>
              <w:rPr>
                <w:sz w:val="20"/>
                <w:szCs w:val="20"/>
                <w:color w:val="auto"/>
              </w:rPr>
            </w:pPr>
            <w:r>
              <w:rPr>
                <w:rFonts w:ascii="Arial" w:cs="Arial" w:eastAsia="Arial" w:hAnsi="Arial"/>
                <w:sz w:val="16"/>
                <w:szCs w:val="16"/>
                <w:color w:val="auto"/>
                <w:w w:val="89"/>
              </w:rPr>
              <w:t>$34.31</w:t>
            </w:r>
          </w:p>
        </w:tc>
        <w:tc>
          <w:tcPr>
            <w:tcW w:w="144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51,100</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$1,052,652</w:t>
            </w:r>
          </w:p>
        </w:tc>
        <w:tc>
          <w:tcPr>
            <w:tcW w:w="1260" w:type="dxa"/>
            <w:vAlign w:val="bottom"/>
            <w:gridSpan w:val="2"/>
            <w:shd w:val="clear" w:color="auto" w:fill="DEEAF6"/>
          </w:tcPr>
          <w:p>
            <w:pPr>
              <w:jc w:val="center"/>
              <w:ind w:left="39"/>
              <w:spacing w:after="0"/>
              <w:rPr>
                <w:sz w:val="20"/>
                <w:szCs w:val="20"/>
                <w:color w:val="auto"/>
              </w:rPr>
            </w:pPr>
            <w:r>
              <w:rPr>
                <w:rFonts w:ascii="Arial" w:cs="Arial" w:eastAsia="Arial" w:hAnsi="Arial"/>
                <w:sz w:val="16"/>
                <w:szCs w:val="16"/>
                <w:color w:val="auto"/>
                <w:w w:val="92"/>
              </w:rPr>
              <w:t>$1,419,769</w:t>
            </w:r>
          </w:p>
        </w:tc>
        <w:tc>
          <w:tcPr>
            <w:tcW w:w="0" w:type="dxa"/>
            <w:vAlign w:val="bottom"/>
          </w:tcPr>
          <w:p>
            <w:pPr>
              <w:spacing w:after="0"/>
              <w:rPr>
                <w:sz w:val="1"/>
                <w:szCs w:val="1"/>
                <w:color w:val="auto"/>
              </w:rPr>
            </w:pPr>
          </w:p>
        </w:tc>
      </w:tr>
      <w:tr>
        <w:trPr>
          <w:trHeight w:val="220"/>
        </w:trPr>
        <w:tc>
          <w:tcPr>
            <w:tcW w:w="2120" w:type="dxa"/>
            <w:vAlign w:val="bottom"/>
          </w:tcPr>
          <w:p>
            <w:pPr>
              <w:ind w:left="120"/>
              <w:spacing w:after="0"/>
              <w:rPr>
                <w:sz w:val="20"/>
                <w:szCs w:val="20"/>
                <w:color w:val="auto"/>
              </w:rPr>
            </w:pPr>
            <w:r>
              <w:rPr>
                <w:rFonts w:ascii="Arial" w:cs="Arial" w:eastAsia="Arial" w:hAnsi="Arial"/>
                <w:sz w:val="16"/>
                <w:szCs w:val="16"/>
                <w:color w:val="auto"/>
              </w:rPr>
              <w:t>Stephen Pakola, M.D.</w:t>
            </w:r>
          </w:p>
        </w:tc>
        <w:tc>
          <w:tcPr>
            <w:tcW w:w="1580" w:type="dxa"/>
            <w:vAlign w:val="bottom"/>
          </w:tcPr>
          <w:p>
            <w:pPr>
              <w:jc w:val="center"/>
              <w:ind w:left="82"/>
              <w:spacing w:after="0"/>
              <w:rPr>
                <w:sz w:val="20"/>
                <w:szCs w:val="20"/>
                <w:color w:val="auto"/>
              </w:rPr>
            </w:pPr>
            <w:r>
              <w:rPr>
                <w:rFonts w:ascii="Arial" w:cs="Arial" w:eastAsia="Arial" w:hAnsi="Arial"/>
                <w:sz w:val="16"/>
                <w:szCs w:val="16"/>
                <w:color w:val="auto"/>
                <w:w w:val="93"/>
              </w:rPr>
              <w:t>1/3/2022</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8,900</w:t>
            </w:r>
          </w:p>
        </w:tc>
        <w:tc>
          <w:tcPr>
            <w:tcW w:w="1280" w:type="dxa"/>
            <w:vAlign w:val="bottom"/>
          </w:tcPr>
          <w:p>
            <w:pPr>
              <w:jc w:val="center"/>
              <w:ind w:left="43"/>
              <w:spacing w:after="0"/>
              <w:rPr>
                <w:sz w:val="20"/>
                <w:szCs w:val="20"/>
                <w:color w:val="auto"/>
              </w:rPr>
            </w:pPr>
            <w:r>
              <w:rPr>
                <w:rFonts w:ascii="Arial" w:cs="Arial" w:eastAsia="Arial" w:hAnsi="Arial"/>
                <w:sz w:val="16"/>
                <w:szCs w:val="16"/>
                <w:color w:val="auto"/>
                <w:w w:val="89"/>
              </w:rPr>
              <w:t>$305,359</w:t>
            </w:r>
          </w:p>
        </w:tc>
        <w:tc>
          <w:tcPr>
            <w:tcW w:w="12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$34.31</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42,500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$875,493</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$1,180,852</w:t>
            </w:r>
          </w:p>
        </w:tc>
        <w:tc>
          <w:tcPr>
            <w:tcW w:w="0" w:type="dxa"/>
            <w:vAlign w:val="bottom"/>
          </w:tcPr>
          <w:p>
            <w:pPr>
              <w:spacing w:after="0"/>
              <w:rPr>
                <w:sz w:val="1"/>
                <w:szCs w:val="1"/>
                <w:color w:val="auto"/>
              </w:rPr>
            </w:pPr>
          </w:p>
        </w:tc>
      </w:tr>
      <w:tr>
        <w:trPr>
          <w:trHeight w:val="239"/>
        </w:trPr>
        <w:tc>
          <w:tcPr>
            <w:tcW w:w="2120" w:type="dxa"/>
            <w:vAlign w:val="bottom"/>
            <w:shd w:val="clear" w:color="auto" w:fill="DEEAF6"/>
          </w:tcPr>
          <w:p>
            <w:pPr>
              <w:ind w:left="120"/>
              <w:spacing w:after="0"/>
              <w:rPr>
                <w:sz w:val="20"/>
                <w:szCs w:val="20"/>
                <w:color w:val="auto"/>
              </w:rPr>
            </w:pPr>
            <w:r>
              <w:rPr>
                <w:rFonts w:ascii="Arial" w:cs="Arial" w:eastAsia="Arial" w:hAnsi="Arial"/>
                <w:sz w:val="16"/>
                <w:szCs w:val="16"/>
                <w:color w:val="auto"/>
              </w:rPr>
              <w:t>Olivier Danos, Ph.D.</w:t>
            </w:r>
          </w:p>
        </w:tc>
        <w:tc>
          <w:tcPr>
            <w:tcW w:w="1580" w:type="dxa"/>
            <w:vAlign w:val="bottom"/>
            <w:shd w:val="clear" w:color="auto" w:fill="DEEAF6"/>
          </w:tcPr>
          <w:p>
            <w:pPr>
              <w:jc w:val="center"/>
              <w:ind w:left="82"/>
              <w:spacing w:after="0"/>
              <w:rPr>
                <w:sz w:val="20"/>
                <w:szCs w:val="20"/>
                <w:color w:val="auto"/>
              </w:rPr>
            </w:pPr>
            <w:r>
              <w:rPr>
                <w:rFonts w:ascii="Arial" w:cs="Arial" w:eastAsia="Arial" w:hAnsi="Arial"/>
                <w:sz w:val="16"/>
                <w:szCs w:val="16"/>
                <w:color w:val="auto"/>
                <w:w w:val="93"/>
              </w:rPr>
              <w:t>1/3/2022</w:t>
            </w:r>
          </w:p>
        </w:tc>
        <w:tc>
          <w:tcPr>
            <w:tcW w:w="11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10,700</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89"/>
              </w:rPr>
              <w:t>$367,117</w:t>
            </w:r>
          </w:p>
        </w:tc>
        <w:tc>
          <w:tcPr>
            <w:tcW w:w="1220" w:type="dxa"/>
            <w:vAlign w:val="bottom"/>
            <w:gridSpan w:val="2"/>
            <w:shd w:val="clear" w:color="auto" w:fill="DEEAF6"/>
          </w:tcPr>
          <w:p>
            <w:pPr>
              <w:jc w:val="center"/>
              <w:ind w:left="99"/>
              <w:spacing w:after="0"/>
              <w:rPr>
                <w:sz w:val="20"/>
                <w:szCs w:val="20"/>
                <w:color w:val="auto"/>
              </w:rPr>
            </w:pPr>
            <w:r>
              <w:rPr>
                <w:rFonts w:ascii="Arial" w:cs="Arial" w:eastAsia="Arial" w:hAnsi="Arial"/>
                <w:sz w:val="16"/>
                <w:szCs w:val="16"/>
                <w:color w:val="auto"/>
                <w:w w:val="89"/>
              </w:rPr>
              <w:t>$34.31</w:t>
            </w:r>
          </w:p>
        </w:tc>
        <w:tc>
          <w:tcPr>
            <w:tcW w:w="144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51,100</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$1,052,652</w:t>
            </w:r>
          </w:p>
        </w:tc>
        <w:tc>
          <w:tcPr>
            <w:tcW w:w="1260" w:type="dxa"/>
            <w:vAlign w:val="bottom"/>
            <w:gridSpan w:val="2"/>
            <w:shd w:val="clear" w:color="auto" w:fill="DEEAF6"/>
          </w:tcPr>
          <w:p>
            <w:pPr>
              <w:jc w:val="center"/>
              <w:ind w:left="39"/>
              <w:spacing w:after="0"/>
              <w:rPr>
                <w:sz w:val="20"/>
                <w:szCs w:val="20"/>
                <w:color w:val="auto"/>
              </w:rPr>
            </w:pPr>
            <w:r>
              <w:rPr>
                <w:rFonts w:ascii="Arial" w:cs="Arial" w:eastAsia="Arial" w:hAnsi="Arial"/>
                <w:sz w:val="16"/>
                <w:szCs w:val="16"/>
                <w:color w:val="auto"/>
                <w:w w:val="92"/>
              </w:rPr>
              <w:t>$1,419,769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jc w:val="both"/>
        <w:ind w:left="760" w:right="120" w:hanging="752"/>
        <w:spacing w:after="0" w:line="255"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options and/or RSUs, as applicable, granted during 2022 calculated in accordance with FASB ASC Topic 718. See Note 11, “Stock-based Compensation,” to the financial statements included in our Annual Report for a discussion of the assumptions we made in determining the grant date fair value of our equity awards.</w:t>
      </w:r>
    </w:p>
    <w:p>
      <w:pPr>
        <w:spacing w:after="0" w:line="2" w:lineRule="exact"/>
        <w:rPr>
          <w:rFonts w:ascii="Arial" w:cs="Arial" w:eastAsia="Arial" w:hAnsi="Arial"/>
          <w:sz w:val="18"/>
          <w:szCs w:val="18"/>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the closing price of our common stock on the grant date.</w:t>
      </w:r>
    </w:p>
    <w:p>
      <w:pPr>
        <w:spacing w:after="0" w:line="21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Shares of our common stock underlying the options in the above table will vest over a four-year period, with 25% of the shares vesting after 12 months from the date of grant and the balance vesting in equal monthly installments over the 36 months thereafter, provided that the optionee provides continuous service to the Company. Shares of our common stock underlying the RSUs in the above table will vest over a four-year period, with 25% of the shares vesting on each of the first, second, third and fourth anniversaries of the first day of the month in which the RSU was granted, provided that the recipient provides continuous service to the Company.</w:t>
      </w:r>
    </w:p>
    <w:p>
      <w:pPr>
        <w:spacing w:after="0" w:line="188" w:lineRule="exact"/>
        <w:rPr>
          <w:sz w:val="20"/>
          <w:szCs w:val="20"/>
          <w:color w:val="auto"/>
        </w:rPr>
      </w:pPr>
    </w:p>
    <w:p>
      <w:pPr>
        <w:jc w:val="both"/>
        <w:ind w:right="300" w:firstLine="749"/>
        <w:spacing w:after="0" w:line="286" w:lineRule="auto"/>
        <w:rPr>
          <w:sz w:val="20"/>
          <w:szCs w:val="20"/>
          <w:color w:val="auto"/>
        </w:rPr>
      </w:pPr>
      <w:r>
        <w:rPr>
          <w:rFonts w:ascii="Arial" w:cs="Arial" w:eastAsia="Arial" w:hAnsi="Arial"/>
          <w:sz w:val="17"/>
          <w:szCs w:val="17"/>
          <w:color w:val="auto"/>
        </w:rPr>
        <w:t>The Board, with respect to our President and CEO, and the Compensation Committee, with respect to our other NEOs, has also granted stock options and RSUs from time to time outside of our annual equity incentive awards and one-time awards upon joining the Company, in recognition of an NEO’s expanded role or continuing contributions to the Company’s performance. No such grants were made in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225"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Our NEOs are eligible to participate in our health and welfare plans to the same extent as all full-time employees are eligible, including reimbursement of certain medical expenses of the NEO or employee and, if applicable, his or her eligible dependents. We pay a portion of the premium cost for our group health plan for all participants, including our NEOs. Other health and welfare benefits include medical, dental, vision and life insurance, flexible spending accounts and short- and long-term disability.</w:t>
      </w:r>
    </w:p>
    <w:p>
      <w:pPr>
        <w:spacing w:after="0" w:line="18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have established a 401(k) tax-deferred savings plan, which permits all participants, including our NEOs, to make contributions by salary deduction pursuant to Section 401(k) of the Internal Revenue Code (the “Code”). We are responsible for administrative costs of the 401(k) plan. We may, at our discretion, make matching contributions to the 401(k) plan. We do not generally provide our NEOs with any other perquisites or personal benefits. In 2022, the Compensation Committee approved the payment of corporate housing costs and a related tax gross-up for Dr. Danos in order to maximize the amount of time that Dr. Danos can devote to Company business by minimizing his commuting time to our headquarters from his personal residence in another state. The Compensation Committee believes such benefits to the Company significantly outweighed the incremental expense to the Company.</w:t>
      </w:r>
    </w:p>
    <w:p>
      <w:pPr>
        <w:spacing w:after="0" w:line="16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Our employee stock purchase plan permits participants, including our NEOs, to purchase our common stock at a discount on a tax-qualified basis through payroll deductions. The employee stock purchase plan is designed to qualify as an “employee stock purchase plan” under Section 423 of the Code. The purpose of the employee stock purchase plan is to encourage our employees, including our NEOs, to become our stockholders and better align their interests with those of our other stockholders.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25"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have entered into employment agreements with each of our NEOs which, among other things, provide for certain severance and change in control payments under certain circumstances. We believe these potential benefits discourage turnover and allow our NEOs to respond to the possibility of a change in control without being influenced by the potential effects of a change in control on their job security. These potential benefits and our employment agreements with our NEOs are described in further detail under “—Employment Agreements and Potential Payments Upon Termination or Change in Control.”</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Anti-Hedging and Pledging Policy</w:t>
      </w:r>
    </w:p>
    <w:p>
      <w:pPr>
        <w:spacing w:after="0" w:line="225" w:lineRule="exact"/>
        <w:rPr>
          <w:sz w:val="20"/>
          <w:szCs w:val="20"/>
          <w:color w:val="auto"/>
        </w:rPr>
      </w:pPr>
    </w:p>
    <w:p>
      <w:pPr>
        <w:ind w:right="160" w:firstLine="749"/>
        <w:spacing w:after="0" w:line="296" w:lineRule="auto"/>
        <w:rPr>
          <w:sz w:val="20"/>
          <w:szCs w:val="20"/>
          <w:color w:val="auto"/>
        </w:rPr>
      </w:pPr>
      <w:r>
        <w:rPr>
          <w:rFonts w:ascii="Arial" w:cs="Arial" w:eastAsia="Arial" w:hAnsi="Arial"/>
          <w:sz w:val="16"/>
          <w:szCs w:val="16"/>
          <w:color w:val="auto"/>
        </w:rPr>
        <w:t>As part of our policy against insider trading, our directors, officers, employees and certain other individuals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240" w:firstLine="749"/>
        <w:spacing w:after="0" w:line="311" w:lineRule="auto"/>
        <w:rPr>
          <w:sz w:val="20"/>
          <w:szCs w:val="20"/>
          <w:color w:val="auto"/>
        </w:rPr>
      </w:pPr>
      <w:r>
        <w:rPr>
          <w:rFonts w:ascii="Arial" w:cs="Arial" w:eastAsia="Arial" w:hAnsi="Arial"/>
          <w:sz w:val="16"/>
          <w:szCs w:val="16"/>
          <w:color w:val="auto"/>
        </w:rPr>
        <w:t>The Compensation Committee has reviewed and discussed the foregoing Compensation Discussion and Analysis with management. Based on this review and discussion, the Compensation Committee recommended to the Board that the Compensation Discussion and Analysis be included in this Proxy Statement and incorporated by reference into the Company’s Annual Report on Form 10-K for the fiscal year ended December 31, 2022.</w:t>
      </w:r>
    </w:p>
    <w:p>
      <w:pPr>
        <w:spacing w:after="0" w:line="14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Daniel Tassé, Chair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Alexandra Glucksmann, Ph.D.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 “Jerry” Karabelas,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information concerning the compensation earned by our NEOs during the years ended December 31, 2022,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Salary</w:t>
            </w:r>
          </w:p>
        </w:tc>
        <w:tc>
          <w:tcPr>
            <w:tcW w:w="10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9"/>
                <w:szCs w:val="19"/>
                <w:b w:val="1"/>
                <w:bCs w:val="1"/>
                <w:color w:val="auto"/>
                <w:vertAlign w:val="superscript"/>
              </w:rPr>
              <w:t>(1)</w:t>
            </w:r>
          </w:p>
        </w:tc>
        <w:tc>
          <w:tcPr>
            <w:tcW w:w="11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580" w:type="dxa"/>
            <w:vAlign w:val="bottom"/>
            <w:vMerge w:val="continue"/>
          </w:tcPr>
          <w:p>
            <w:pPr>
              <w:spacing w:after="0"/>
              <w:rPr>
                <w:sz w:val="12"/>
                <w:szCs w:val="12"/>
                <w:color w:val="auto"/>
              </w:rPr>
            </w:pPr>
          </w:p>
        </w:tc>
        <w:tc>
          <w:tcPr>
            <w:tcW w:w="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Name and Principal Position</w:t>
            </w:r>
          </w:p>
        </w:tc>
        <w:tc>
          <w:tcPr>
            <w:tcW w:w="200" w:type="dxa"/>
            <w:vAlign w:val="bottom"/>
          </w:tcPr>
          <w:p>
            <w:pPr>
              <w:spacing w:after="0"/>
              <w:rPr>
                <w:sz w:val="13"/>
                <w:szCs w:val="13"/>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7"/>
                <w:szCs w:val="17"/>
                <w:b w:val="1"/>
                <w:bCs w:val="1"/>
                <w:color w:val="auto"/>
                <w:w w:val="95"/>
                <w:vertAlign w:val="superscript"/>
              </w:rPr>
              <w:t>(2)</w:t>
            </w:r>
          </w:p>
        </w:tc>
        <w:tc>
          <w:tcPr>
            <w:tcW w:w="112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7"/>
                <w:szCs w:val="17"/>
                <w:b w:val="1"/>
                <w:bCs w:val="1"/>
                <w:color w:val="auto"/>
                <w:w w:val="95"/>
                <w:vertAlign w:val="superscript"/>
              </w:rPr>
              <w:t>(2)</w:t>
            </w:r>
          </w:p>
        </w:tc>
        <w:tc>
          <w:tcPr>
            <w:tcW w:w="156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17"/>
                <w:szCs w:val="17"/>
                <w:b w:val="1"/>
                <w:bCs w:val="1"/>
                <w:color w:val="auto"/>
                <w:w w:val="95"/>
                <w:vertAlign w:val="superscript"/>
              </w:rPr>
              <w:t>(3)</w:t>
            </w:r>
          </w:p>
        </w:tc>
        <w:tc>
          <w:tcPr>
            <w:tcW w:w="158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17"/>
                <w:szCs w:val="17"/>
                <w:b w:val="1"/>
                <w:bCs w:val="1"/>
                <w:color w:val="auto"/>
                <w:w w:val="95"/>
                <w:vertAlign w:val="superscript"/>
              </w:rPr>
              <w:t>(4)</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9"/>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Kenneth T. Mills</w:t>
            </w:r>
          </w:p>
        </w:tc>
        <w:tc>
          <w:tcPr>
            <w:tcW w:w="840" w:type="dxa"/>
            <w:vAlign w:val="bottom"/>
            <w:gridSpan w:val="2"/>
            <w:shd w:val="clear" w:color="auto" w:fill="DEEAF6"/>
          </w:tcPr>
          <w:p>
            <w:pPr>
              <w:ind w:left="32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650,759</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1,228,161</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3,505,846</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351,410</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17,538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5,753,713</w:t>
            </w:r>
          </w:p>
        </w:tc>
        <w:tc>
          <w:tcPr>
            <w:tcW w:w="0" w:type="dxa"/>
            <w:vAlign w:val="bottom"/>
          </w:tcPr>
          <w:p>
            <w:pPr>
              <w:spacing w:after="0"/>
              <w:rPr>
                <w:sz w:val="1"/>
                <w:szCs w:val="1"/>
                <w:color w:val="auto"/>
              </w:rPr>
            </w:pPr>
          </w:p>
        </w:tc>
      </w:tr>
      <w:tr>
        <w:trPr>
          <w:trHeight w:val="176"/>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President and CEO</w:t>
            </w: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631,805</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0"/>
              </w:rPr>
              <w:t>600,000</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1,843,050</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5,057,556</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473,854</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16,675</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8,622,941</w:t>
            </w:r>
          </w:p>
        </w:tc>
        <w:tc>
          <w:tcPr>
            <w:tcW w:w="0" w:type="dxa"/>
            <w:vAlign w:val="bottom"/>
          </w:tcPr>
          <w:p>
            <w:pPr>
              <w:spacing w:after="0"/>
              <w:rPr>
                <w:sz w:val="1"/>
                <w:szCs w:val="1"/>
                <w:color w:val="auto"/>
              </w:rPr>
            </w:pPr>
          </w:p>
        </w:tc>
      </w:tr>
      <w:tr>
        <w:trPr>
          <w:trHeight w:val="175"/>
        </w:trPr>
        <w:tc>
          <w:tcPr>
            <w:tcW w:w="2020" w:type="dxa"/>
            <w:vAlign w:val="bottom"/>
            <w:shd w:val="clear" w:color="auto" w:fill="DEEAF6"/>
          </w:tcPr>
          <w:p>
            <w:pPr>
              <w:spacing w:after="0"/>
              <w:rPr>
                <w:sz w:val="15"/>
                <w:szCs w:val="15"/>
                <w:color w:val="auto"/>
              </w:rPr>
            </w:pP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2020</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613,403</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6,646,254</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368,042</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16,388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7,644,087</w:t>
            </w:r>
          </w:p>
        </w:tc>
        <w:tc>
          <w:tcPr>
            <w:tcW w:w="0" w:type="dxa"/>
            <w:vAlign w:val="bottom"/>
          </w:tcPr>
          <w:p>
            <w:pPr>
              <w:spacing w:after="0"/>
              <w:rPr>
                <w:sz w:val="1"/>
                <w:szCs w:val="1"/>
                <w:color w:val="auto"/>
              </w:rPr>
            </w:pPr>
          </w:p>
        </w:tc>
      </w:tr>
      <w:tr>
        <w:trPr>
          <w:trHeight w:val="170"/>
        </w:trPr>
        <w:tc>
          <w:tcPr>
            <w:tcW w:w="2020" w:type="dxa"/>
            <w:vAlign w:val="bottom"/>
          </w:tcPr>
          <w:p>
            <w:pPr>
              <w:ind w:left="120"/>
              <w:spacing w:after="0"/>
              <w:rPr>
                <w:sz w:val="20"/>
                <w:szCs w:val="20"/>
                <w:color w:val="auto"/>
              </w:rPr>
            </w:pPr>
            <w:r>
              <w:rPr>
                <w:rFonts w:ascii="Arial" w:cs="Arial" w:eastAsia="Arial" w:hAnsi="Arial"/>
                <w:sz w:val="14"/>
                <w:szCs w:val="14"/>
                <w:color w:val="auto"/>
              </w:rPr>
              <w:t>Vit Vasista</w:t>
            </w:r>
          </w:p>
        </w:tc>
        <w:tc>
          <w:tcPr>
            <w:tcW w:w="2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rPr>
              <w:t>2022</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480,787</w:t>
            </w:r>
          </w:p>
        </w:tc>
        <w:tc>
          <w:tcPr>
            <w:tcW w:w="106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305,359</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875,493</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173,083</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17,538</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89"/>
              </w:rPr>
              <w:t>1,852,260</w:t>
            </w:r>
          </w:p>
        </w:tc>
        <w:tc>
          <w:tcPr>
            <w:tcW w:w="0" w:type="dxa"/>
            <w:vAlign w:val="bottom"/>
          </w:tcPr>
          <w:p>
            <w:pPr>
              <w:spacing w:after="0"/>
              <w:rPr>
                <w:sz w:val="1"/>
                <w:szCs w:val="1"/>
                <w:color w:val="auto"/>
              </w:rPr>
            </w:pPr>
          </w:p>
        </w:tc>
      </w:tr>
      <w:tr>
        <w:trPr>
          <w:trHeight w:val="176"/>
        </w:trPr>
        <w:tc>
          <w:tcPr>
            <w:tcW w:w="2020" w:type="dxa"/>
            <w:vAlign w:val="bottom"/>
          </w:tcPr>
          <w:p>
            <w:pPr>
              <w:ind w:left="120"/>
              <w:spacing w:after="0"/>
              <w:rPr>
                <w:sz w:val="20"/>
                <w:szCs w:val="20"/>
                <w:color w:val="auto"/>
              </w:rPr>
            </w:pPr>
            <w:r>
              <w:rPr>
                <w:rFonts w:ascii="Arial" w:cs="Arial" w:eastAsia="Arial" w:hAnsi="Arial"/>
                <w:sz w:val="14"/>
                <w:szCs w:val="14"/>
                <w:color w:val="auto"/>
              </w:rPr>
              <w:t>EVP, Chief Financial</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2021</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466,783</w:t>
            </w:r>
          </w:p>
        </w:tc>
        <w:tc>
          <w:tcPr>
            <w:tcW w:w="1060" w:type="dxa"/>
            <w:vAlign w:val="bottom"/>
          </w:tcPr>
          <w:p>
            <w:pPr>
              <w:jc w:val="center"/>
              <w:ind w:right="8"/>
              <w:spacing w:after="0"/>
              <w:rPr>
                <w:sz w:val="20"/>
                <w:szCs w:val="20"/>
                <w:color w:val="auto"/>
              </w:rPr>
            </w:pPr>
            <w:r>
              <w:rPr>
                <w:rFonts w:ascii="Arial" w:cs="Arial" w:eastAsia="Arial" w:hAnsi="Arial"/>
                <w:sz w:val="14"/>
                <w:szCs w:val="14"/>
                <w:color w:val="auto"/>
                <w:w w:val="90"/>
              </w:rPr>
              <w:t>525,000</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557,628</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1,535,018</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245,061</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16,675</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89"/>
              </w:rPr>
              <w:t>3,346,165</w:t>
            </w:r>
          </w:p>
        </w:tc>
        <w:tc>
          <w:tcPr>
            <w:tcW w:w="0" w:type="dxa"/>
            <w:vAlign w:val="bottom"/>
          </w:tcPr>
          <w:p>
            <w:pPr>
              <w:spacing w:after="0"/>
              <w:rPr>
                <w:sz w:val="1"/>
                <w:szCs w:val="1"/>
                <w:color w:val="auto"/>
              </w:rPr>
            </w:pPr>
          </w:p>
        </w:tc>
      </w:tr>
      <w:tr>
        <w:trPr>
          <w:trHeight w:val="181"/>
        </w:trPr>
        <w:tc>
          <w:tcPr>
            <w:tcW w:w="2020" w:type="dxa"/>
            <w:vAlign w:val="bottom"/>
          </w:tcPr>
          <w:p>
            <w:pPr>
              <w:ind w:left="120"/>
              <w:spacing w:after="0"/>
              <w:rPr>
                <w:sz w:val="20"/>
                <w:szCs w:val="20"/>
                <w:color w:val="auto"/>
              </w:rPr>
            </w:pPr>
            <w:r>
              <w:rPr>
                <w:rFonts w:ascii="Arial" w:cs="Arial" w:eastAsia="Arial" w:hAnsi="Arial"/>
                <w:sz w:val="14"/>
                <w:szCs w:val="14"/>
                <w:color w:val="auto"/>
              </w:rPr>
              <w:t>Officer</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2020</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453,188</w:t>
            </w:r>
          </w:p>
        </w:tc>
        <w:tc>
          <w:tcPr>
            <w:tcW w:w="106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1,230,788</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181,275</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16,388</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89"/>
              </w:rPr>
              <w:t>1,881,639</w:t>
            </w:r>
          </w:p>
        </w:tc>
        <w:tc>
          <w:tcPr>
            <w:tcW w:w="0" w:type="dxa"/>
            <w:vAlign w:val="bottom"/>
          </w:tcPr>
          <w:p>
            <w:pPr>
              <w:spacing w:after="0"/>
              <w:rPr>
                <w:sz w:val="1"/>
                <w:szCs w:val="1"/>
                <w:color w:val="auto"/>
              </w:rPr>
            </w:pPr>
          </w:p>
        </w:tc>
      </w:tr>
      <w:tr>
        <w:trPr>
          <w:trHeight w:val="176"/>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Curran Simpson</w:t>
            </w:r>
          </w:p>
        </w:tc>
        <w:tc>
          <w:tcPr>
            <w:tcW w:w="840" w:type="dxa"/>
            <w:vAlign w:val="bottom"/>
            <w:gridSpan w:val="2"/>
            <w:shd w:val="clear" w:color="auto" w:fill="DEEAF6"/>
          </w:tcPr>
          <w:p>
            <w:pPr>
              <w:ind w:left="32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474,933</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367,117</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1,052,652</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185,224</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17,538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2,097,463</w:t>
            </w:r>
          </w:p>
        </w:tc>
        <w:tc>
          <w:tcPr>
            <w:tcW w:w="0" w:type="dxa"/>
            <w:vAlign w:val="bottom"/>
          </w:tcPr>
          <w:p>
            <w:pPr>
              <w:spacing w:after="0"/>
              <w:rPr>
                <w:sz w:val="1"/>
                <w:szCs w:val="1"/>
                <w:color w:val="auto"/>
              </w:rPr>
            </w:pPr>
          </w:p>
        </w:tc>
      </w:tr>
      <w:tr>
        <w:trPr>
          <w:trHeight w:val="175"/>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EVP, Chief Operating</w:t>
            </w: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448,050</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0"/>
              </w:rPr>
              <w:t>225,000</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620,586</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1,701,630</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235,226</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16,675</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3,247,167</w:t>
            </w:r>
          </w:p>
        </w:tc>
        <w:tc>
          <w:tcPr>
            <w:tcW w:w="0" w:type="dxa"/>
            <w:vAlign w:val="bottom"/>
          </w:tcPr>
          <w:p>
            <w:pPr>
              <w:spacing w:after="0"/>
              <w:rPr>
                <w:sz w:val="1"/>
                <w:szCs w:val="1"/>
                <w:color w:val="auto"/>
              </w:rPr>
            </w:pPr>
          </w:p>
        </w:tc>
      </w:tr>
      <w:tr>
        <w:trPr>
          <w:trHeight w:val="176"/>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2020</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428,152</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1,132,325</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174,000</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16,388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1,750,865</w:t>
            </w:r>
          </w:p>
        </w:tc>
        <w:tc>
          <w:tcPr>
            <w:tcW w:w="0" w:type="dxa"/>
            <w:vAlign w:val="bottom"/>
          </w:tcPr>
          <w:p>
            <w:pPr>
              <w:spacing w:after="0"/>
              <w:rPr>
                <w:sz w:val="1"/>
                <w:szCs w:val="1"/>
                <w:color w:val="auto"/>
              </w:rPr>
            </w:pPr>
          </w:p>
        </w:tc>
      </w:tr>
      <w:tr>
        <w:trPr>
          <w:trHeight w:val="170"/>
        </w:trPr>
        <w:tc>
          <w:tcPr>
            <w:tcW w:w="2020" w:type="dxa"/>
            <w:vAlign w:val="bottom"/>
          </w:tcPr>
          <w:p>
            <w:pPr>
              <w:ind w:left="120"/>
              <w:spacing w:after="0"/>
              <w:rPr>
                <w:sz w:val="20"/>
                <w:szCs w:val="20"/>
                <w:color w:val="auto"/>
              </w:rPr>
            </w:pPr>
            <w:r>
              <w:rPr>
                <w:rFonts w:ascii="Arial" w:cs="Arial" w:eastAsia="Arial" w:hAnsi="Arial"/>
                <w:sz w:val="14"/>
                <w:szCs w:val="14"/>
                <w:color w:val="auto"/>
              </w:rPr>
              <w:t>Stephen Pakola, M.D.</w:t>
            </w:r>
          </w:p>
        </w:tc>
        <w:tc>
          <w:tcPr>
            <w:tcW w:w="2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rPr>
              <w:t>2022</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478,996</w:t>
            </w:r>
          </w:p>
        </w:tc>
        <w:tc>
          <w:tcPr>
            <w:tcW w:w="106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305,359</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875,493</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177,229</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17,538</w:t>
            </w:r>
          </w:p>
        </w:tc>
        <w:tc>
          <w:tcPr>
            <w:tcW w:w="940" w:type="dxa"/>
            <w:vAlign w:val="bottom"/>
          </w:tcPr>
          <w:p>
            <w:pPr>
              <w:jc w:val="center"/>
              <w:ind w:left="68"/>
              <w:spacing w:after="0"/>
              <w:rPr>
                <w:sz w:val="20"/>
                <w:szCs w:val="20"/>
                <w:color w:val="auto"/>
              </w:rPr>
            </w:pPr>
            <w:r>
              <w:rPr>
                <w:rFonts w:ascii="Arial" w:cs="Arial" w:eastAsia="Arial" w:hAnsi="Arial"/>
                <w:sz w:val="14"/>
                <w:szCs w:val="14"/>
                <w:color w:val="auto"/>
                <w:w w:val="89"/>
              </w:rPr>
              <w:t>1,854,615</w:t>
            </w:r>
          </w:p>
        </w:tc>
        <w:tc>
          <w:tcPr>
            <w:tcW w:w="0" w:type="dxa"/>
            <w:vAlign w:val="bottom"/>
          </w:tcPr>
          <w:p>
            <w:pPr>
              <w:spacing w:after="0"/>
              <w:rPr>
                <w:sz w:val="1"/>
                <w:szCs w:val="1"/>
                <w:color w:val="auto"/>
              </w:rPr>
            </w:pPr>
          </w:p>
        </w:tc>
      </w:tr>
      <w:tr>
        <w:trPr>
          <w:trHeight w:val="175"/>
        </w:trPr>
        <w:tc>
          <w:tcPr>
            <w:tcW w:w="2020" w:type="dxa"/>
            <w:vAlign w:val="bottom"/>
          </w:tcPr>
          <w:p>
            <w:pPr>
              <w:ind w:left="120"/>
              <w:spacing w:after="0"/>
              <w:rPr>
                <w:sz w:val="20"/>
                <w:szCs w:val="20"/>
                <w:color w:val="auto"/>
              </w:rPr>
            </w:pPr>
            <w:r>
              <w:rPr>
                <w:rFonts w:ascii="Arial" w:cs="Arial" w:eastAsia="Arial" w:hAnsi="Arial"/>
                <w:sz w:val="14"/>
                <w:szCs w:val="14"/>
                <w:color w:val="auto"/>
              </w:rPr>
              <w:t>EVP, Chief Medical</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120"/>
              <w:spacing w:after="0"/>
              <w:rPr>
                <w:sz w:val="20"/>
                <w:szCs w:val="20"/>
                <w:color w:val="auto"/>
              </w:rPr>
            </w:pPr>
            <w:r>
              <w:rPr>
                <w:rFonts w:ascii="Arial" w:cs="Arial" w:eastAsia="Arial" w:hAnsi="Arial"/>
                <w:sz w:val="14"/>
                <w:szCs w:val="14"/>
                <w:color w:val="auto"/>
              </w:rPr>
              <w:t>Officer</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Olivier Danos, Ph.D.</w:t>
            </w:r>
          </w:p>
        </w:tc>
        <w:tc>
          <w:tcPr>
            <w:tcW w:w="840" w:type="dxa"/>
            <w:vAlign w:val="bottom"/>
            <w:gridSpan w:val="2"/>
            <w:shd w:val="clear" w:color="auto" w:fill="DEEAF6"/>
          </w:tcPr>
          <w:p>
            <w:pPr>
              <w:ind w:left="320"/>
              <w:spacing w:after="0"/>
              <w:rPr>
                <w:sz w:val="20"/>
                <w:szCs w:val="20"/>
                <w:color w:val="auto"/>
              </w:rPr>
            </w:pPr>
            <w:r>
              <w:rPr>
                <w:rFonts w:ascii="Arial" w:cs="Arial" w:eastAsia="Arial" w:hAnsi="Arial"/>
                <w:sz w:val="14"/>
                <w:szCs w:val="14"/>
                <w:color w:val="auto"/>
              </w:rPr>
              <w:t>2022</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482,940</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367,117</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1,052,652</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178,688</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66,431</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2,147,828</w:t>
            </w:r>
          </w:p>
        </w:tc>
        <w:tc>
          <w:tcPr>
            <w:tcW w:w="0" w:type="dxa"/>
            <w:vAlign w:val="bottom"/>
          </w:tcPr>
          <w:p>
            <w:pPr>
              <w:spacing w:after="0"/>
              <w:rPr>
                <w:sz w:val="1"/>
                <w:szCs w:val="1"/>
                <w:color w:val="auto"/>
              </w:rPr>
            </w:pPr>
          </w:p>
        </w:tc>
      </w:tr>
      <w:tr>
        <w:trPr>
          <w:trHeight w:val="176"/>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EVP, Chief Scientific</w:t>
            </w: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455,604</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0"/>
              </w:rPr>
              <w:t>100,000</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521,652</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1,433,958</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239,192</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47,288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2,797,694</w:t>
            </w:r>
          </w:p>
        </w:tc>
        <w:tc>
          <w:tcPr>
            <w:tcW w:w="0" w:type="dxa"/>
            <w:vAlign w:val="bottom"/>
          </w:tcPr>
          <w:p>
            <w:pPr>
              <w:spacing w:after="0"/>
              <w:rPr>
                <w:sz w:val="1"/>
                <w:szCs w:val="1"/>
                <w:color w:val="auto"/>
              </w:rPr>
            </w:pPr>
          </w:p>
        </w:tc>
      </w:tr>
      <w:tr>
        <w:trPr>
          <w:trHeight w:val="175"/>
        </w:trPr>
        <w:tc>
          <w:tcPr>
            <w:tcW w:w="2020" w:type="dxa"/>
            <w:vAlign w:val="bottom"/>
            <w:shd w:val="clear" w:color="auto" w:fill="DEEAF6"/>
          </w:tcPr>
          <w:p>
            <w:pPr>
              <w:ind w:left="120"/>
              <w:spacing w:after="0"/>
              <w:rPr>
                <w:sz w:val="20"/>
                <w:szCs w:val="20"/>
                <w:color w:val="auto"/>
              </w:rPr>
            </w:pPr>
            <w:r>
              <w:rPr>
                <w:rFonts w:ascii="Arial" w:cs="Arial" w:eastAsia="Arial" w:hAnsi="Arial"/>
                <w:sz w:val="14"/>
                <w:szCs w:val="14"/>
                <w:color w:val="auto"/>
              </w:rPr>
              <w:t>Officer</w:t>
            </w:r>
          </w:p>
        </w:tc>
        <w:tc>
          <w:tcPr>
            <w:tcW w:w="200" w:type="dxa"/>
            <w:vAlign w:val="bottom"/>
            <w:shd w:val="clear" w:color="auto" w:fill="DEEAF6"/>
          </w:tcPr>
          <w:p>
            <w:pPr>
              <w:spacing w:after="0"/>
              <w:rPr>
                <w:sz w:val="15"/>
                <w:szCs w:val="15"/>
                <w:color w:val="auto"/>
              </w:rPr>
            </w:pPr>
          </w:p>
        </w:tc>
        <w:tc>
          <w:tcPr>
            <w:tcW w:w="6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2020</w:t>
            </w:r>
          </w:p>
        </w:tc>
        <w:tc>
          <w:tcPr>
            <w:tcW w:w="94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433,908</w:t>
            </w:r>
          </w:p>
        </w:tc>
        <w:tc>
          <w:tcPr>
            <w:tcW w:w="1060" w:type="dxa"/>
            <w:vAlign w:val="bottom"/>
            <w:shd w:val="clear" w:color="auto" w:fill="DEEAF6"/>
          </w:tcPr>
          <w:p>
            <w:pPr>
              <w:jc w:val="center"/>
              <w:ind w:right="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1,181,556</w:t>
            </w:r>
          </w:p>
        </w:tc>
        <w:tc>
          <w:tcPr>
            <w:tcW w:w="15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173,563</w:t>
            </w:r>
          </w:p>
        </w:tc>
        <w:tc>
          <w:tcPr>
            <w:tcW w:w="158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16,388</w:t>
            </w:r>
          </w:p>
        </w:tc>
        <w:tc>
          <w:tcPr>
            <w:tcW w:w="94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89"/>
              </w:rPr>
              <w:t>1,805,415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5" w:lineRule="exact"/>
        <w:rPr>
          <w:sz w:val="20"/>
          <w:szCs w:val="20"/>
          <w:color w:val="auto"/>
        </w:rPr>
      </w:pPr>
    </w:p>
    <w:p>
      <w:pPr>
        <w:ind w:left="760" w:right="280" w:hanging="752"/>
        <w:spacing w:after="0" w:line="258"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a special transaction-related cash performance bonus payment to the applicable NEO in connection with our entry into the Collaboration and License Agreement with AbbVie Inc. to develop and commercialize RGX-314.</w:t>
      </w:r>
    </w:p>
    <w:p>
      <w:pPr>
        <w:spacing w:after="0" w:line="1" w:lineRule="exact"/>
        <w:rPr>
          <w:rFonts w:ascii="Arial" w:cs="Arial" w:eastAsia="Arial" w:hAnsi="Arial"/>
          <w:sz w:val="18"/>
          <w:szCs w:val="18"/>
          <w:color w:val="auto"/>
        </w:rPr>
      </w:pPr>
    </w:p>
    <w:p>
      <w:pPr>
        <w:ind w:left="760" w:right="20" w:hanging="752"/>
        <w:spacing w:after="0" w:line="265"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RSUs or options, as applicable, granted during the respective fiscal year calculated in accordance with FASB ASC Topic 718. See Note 11, “Stock-based Compensation,” to the financial statements included in our Annual Report for a discussion of the assumptions we made in determining the grant date fair value of our equity awards.</w:t>
      </w:r>
    </w:p>
    <w:p>
      <w:pPr>
        <w:ind w:left="760" w:right="680" w:hanging="752"/>
        <w:spacing w:after="0" w:line="250"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cash compensation earned under our annual incentive program, based on achievement of corporate and/or individual objectives by the Board or Compensation Committee.</w:t>
      </w:r>
    </w:p>
    <w:p>
      <w:pPr>
        <w:ind w:left="760" w:right="20" w:hanging="752"/>
        <w:spacing w:after="0" w:line="273"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consist of employer matching contributions to our 401(k) plan for all NEOs and, with respect to Dr. Danos, corporate housing costs and related tax gross-up in 2022 and 2021. The 2022 amount for Dr. Danos consists of corporate housing costs of $38,728, related tax gross-up of $10,165 and employer matching contributions to our 401(k) plan of $17,538. The 2021 amount for Dr. Danos consists of corporate housing costs of $17,419, related tax gross-up of $13,194 and employer matching contributions to our 401(k) plan of $16,675.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2022 Grants of Plan-Based Awards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certain information regarding grants of plan-based awards to our NEOs during the year ended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other plan-based awards were granted to any of our current or former NEOs during 2022.</w:t>
      </w:r>
    </w:p>
    <w:p>
      <w:pPr>
        <w:spacing w:after="0" w:line="199"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Estimated Possible Payouts Under</w:t>
      </w:r>
    </w:p>
    <w:p>
      <w:pPr>
        <w:jc w:val="center"/>
        <w:ind w:right="1360"/>
        <w:spacing w:after="0" w:line="207" w:lineRule="auto"/>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19"/>
          <w:szCs w:val="19"/>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98"/>
              </w:rPr>
              <w:t>All Other</w:t>
            </w:r>
          </w:p>
        </w:tc>
        <w:tc>
          <w:tcPr>
            <w:tcW w:w="1280" w:type="dxa"/>
            <w:vAlign w:val="bottom"/>
          </w:tcPr>
          <w:p>
            <w:pPr>
              <w:jc w:val="center"/>
              <w:ind w:left="23"/>
              <w:spacing w:after="0" w:line="133" w:lineRule="exact"/>
              <w:rPr>
                <w:sz w:val="20"/>
                <w:szCs w:val="20"/>
                <w:color w:val="auto"/>
              </w:rPr>
            </w:pPr>
            <w:r>
              <w:rPr>
                <w:rFonts w:ascii="Arial" w:cs="Arial" w:eastAsia="Arial" w:hAnsi="Arial"/>
                <w:sz w:val="14"/>
                <w:szCs w:val="14"/>
                <w:b w:val="1"/>
                <w:bCs w:val="1"/>
                <w:color w:val="auto"/>
                <w:w w:val="98"/>
              </w:rPr>
              <w:t>All Other</w:t>
            </w:r>
          </w:p>
        </w:tc>
        <w:tc>
          <w:tcPr>
            <w:tcW w:w="116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8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3"/>
              </w:rPr>
              <w:t>Option</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Exercise or</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Stock</w:t>
            </w:r>
          </w:p>
        </w:tc>
        <w:tc>
          <w:tcPr>
            <w:tcW w:w="12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vMerge w:val="continue"/>
          </w:tcPr>
          <w:p>
            <w:pPr>
              <w:spacing w:after="0"/>
              <w:rPr>
                <w:sz w:val="12"/>
                <w:szCs w:val="12"/>
                <w:color w:val="auto"/>
              </w:rPr>
            </w:pPr>
          </w:p>
        </w:tc>
        <w:tc>
          <w:tcPr>
            <w:tcW w:w="108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Awards:</w:t>
            </w:r>
          </w:p>
        </w:tc>
        <w:tc>
          <w:tcPr>
            <w:tcW w:w="128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Base Price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Threshold</w:t>
            </w: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Target</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Maximum</w:t>
            </w:r>
          </w:p>
        </w:tc>
        <w:tc>
          <w:tcPr>
            <w:tcW w:w="12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Option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4"/>
        </w:trPr>
        <w:tc>
          <w:tcPr>
            <w:tcW w:w="2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13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Grant Date</w:t>
            </w:r>
          </w:p>
        </w:tc>
        <w:tc>
          <w:tcPr>
            <w:tcW w:w="10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0" w:type="dxa"/>
            <w:vAlign w:val="bottom"/>
          </w:tcPr>
          <w:p>
            <w:pPr>
              <w:jc w:val="center"/>
              <w:ind w:left="62"/>
              <w:spacing w:after="0" w:line="145" w:lineRule="exact"/>
              <w:rPr>
                <w:sz w:val="20"/>
                <w:szCs w:val="20"/>
                <w:color w:val="auto"/>
              </w:rPr>
            </w:pPr>
            <w:r>
              <w:rPr>
                <w:rFonts w:ascii="Arial" w:cs="Arial" w:eastAsia="Arial" w:hAnsi="Arial"/>
                <w:sz w:val="14"/>
                <w:szCs w:val="14"/>
                <w:b w:val="1"/>
                <w:bCs w:val="1"/>
                <w:color w:val="auto"/>
                <w:w w:val="88"/>
              </w:rPr>
              <w:t>Shares of Stock</w:t>
            </w:r>
          </w:p>
        </w:tc>
        <w:tc>
          <w:tcPr>
            <w:tcW w:w="1280" w:type="dxa"/>
            <w:vAlign w:val="bottom"/>
          </w:tcPr>
          <w:p>
            <w:pPr>
              <w:jc w:val="center"/>
              <w:ind w:left="23"/>
              <w:spacing w:after="0" w:line="145"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center"/>
              <w:ind w:left="102"/>
              <w:spacing w:after="0" w:line="189" w:lineRule="exact"/>
              <w:rPr>
                <w:sz w:val="20"/>
                <w:szCs w:val="20"/>
                <w:color w:val="auto"/>
              </w:rPr>
            </w:pPr>
            <w:r>
              <w:rPr>
                <w:rFonts w:ascii="Arial" w:cs="Arial" w:eastAsia="Arial" w:hAnsi="Arial"/>
                <w:sz w:val="14"/>
                <w:szCs w:val="14"/>
                <w:b w:val="1"/>
                <w:bCs w:val="1"/>
                <w:color w:val="auto"/>
                <w:w w:val="90"/>
              </w:rPr>
              <w:t>or Units</w:t>
            </w:r>
            <w:r>
              <w:rPr>
                <w:rFonts w:ascii="Arial" w:cs="Arial" w:eastAsia="Arial" w:hAnsi="Arial"/>
                <w:sz w:val="19"/>
                <w:szCs w:val="19"/>
                <w:b w:val="1"/>
                <w:bCs w:val="1"/>
                <w:color w:val="auto"/>
                <w:w w:val="90"/>
                <w:vertAlign w:val="superscript"/>
              </w:rPr>
              <w:t>(2)</w:t>
            </w:r>
          </w:p>
        </w:tc>
        <w:tc>
          <w:tcPr>
            <w:tcW w:w="1280" w:type="dxa"/>
            <w:vAlign w:val="bottom"/>
            <w:tcBorders>
              <w:bottom w:val="single" w:sz="8" w:color="auto"/>
            </w:tcBorders>
          </w:tcPr>
          <w:p>
            <w:pPr>
              <w:jc w:val="center"/>
              <w:ind w:left="43"/>
              <w:spacing w:after="0" w:line="189" w:lineRule="exact"/>
              <w:rPr>
                <w:sz w:val="20"/>
                <w:szCs w:val="20"/>
                <w:color w:val="auto"/>
              </w:rPr>
            </w:pPr>
            <w:r>
              <w:rPr>
                <w:rFonts w:ascii="Arial" w:cs="Arial" w:eastAsia="Arial" w:hAnsi="Arial"/>
                <w:sz w:val="14"/>
                <w:szCs w:val="14"/>
                <w:b w:val="1"/>
                <w:bCs w:val="1"/>
                <w:color w:val="auto"/>
                <w:w w:val="87"/>
              </w:rPr>
              <w:t>Options</w:t>
            </w:r>
            <w:r>
              <w:rPr>
                <w:rFonts w:ascii="Arial" w:cs="Arial" w:eastAsia="Arial" w:hAnsi="Arial"/>
                <w:sz w:val="19"/>
                <w:szCs w:val="19"/>
                <w:b w:val="1"/>
                <w:bCs w:val="1"/>
                <w:color w:val="auto"/>
                <w:w w:val="87"/>
                <w:vertAlign w:val="superscript"/>
              </w:rPr>
              <w:t>(3)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($/Share)</w:t>
            </w:r>
          </w:p>
        </w:tc>
        <w:tc>
          <w:tcPr>
            <w:tcW w:w="1080" w:type="dxa"/>
            <w:vAlign w:val="bottom"/>
            <w:tcBorders>
              <w:bottom w:val="single" w:sz="8" w:color="auto"/>
            </w:tcBorders>
          </w:tcPr>
          <w:p>
            <w:pPr>
              <w:jc w:val="center"/>
              <w:ind w:left="2"/>
              <w:spacing w:after="0" w:line="189"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(4)</w:t>
            </w:r>
          </w:p>
        </w:tc>
        <w:tc>
          <w:tcPr>
            <w:tcW w:w="0" w:type="dxa"/>
            <w:vAlign w:val="bottom"/>
          </w:tcPr>
          <w:p>
            <w:pPr>
              <w:spacing w:after="0"/>
              <w:rPr>
                <w:sz w:val="1"/>
                <w:szCs w:val="1"/>
                <w:color w:val="auto"/>
              </w:rPr>
            </w:pPr>
          </w:p>
        </w:tc>
      </w:tr>
      <w:tr>
        <w:trPr>
          <w:trHeight w:val="204"/>
        </w:trPr>
        <w:tc>
          <w:tcPr>
            <w:tcW w:w="2000" w:type="dxa"/>
            <w:vAlign w:val="bottom"/>
            <w:shd w:val="clear" w:color="auto" w:fill="DEEAF6"/>
          </w:tcPr>
          <w:p>
            <w:pPr>
              <w:ind w:left="120"/>
              <w:spacing w:after="0"/>
              <w:rPr>
                <w:sz w:val="20"/>
                <w:szCs w:val="20"/>
                <w:color w:val="auto"/>
              </w:rPr>
            </w:pPr>
            <w:r>
              <w:rPr>
                <w:rFonts w:ascii="Arial" w:cs="Arial" w:eastAsia="Arial" w:hAnsi="Arial"/>
                <w:sz w:val="16"/>
                <w:szCs w:val="16"/>
                <w:color w:val="auto"/>
              </w:rPr>
              <w:t>Kenneth T. Mills</w:t>
            </w: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390,455</w:t>
            </w:r>
          </w:p>
        </w:tc>
        <w:tc>
          <w:tcPr>
            <w:tcW w:w="1060" w:type="dxa"/>
            <w:vAlign w:val="bottom"/>
            <w:shd w:val="clear" w:color="auto" w:fill="DEEAF6"/>
          </w:tcPr>
          <w:p>
            <w:pPr>
              <w:jc w:val="center"/>
              <w:ind w:left="21"/>
              <w:spacing w:after="0"/>
              <w:rPr>
                <w:sz w:val="20"/>
                <w:szCs w:val="20"/>
                <w:color w:val="auto"/>
              </w:rPr>
            </w:pPr>
            <w:r>
              <w:rPr>
                <w:rFonts w:ascii="Arial" w:cs="Arial" w:eastAsia="Arial" w:hAnsi="Arial"/>
                <w:sz w:val="16"/>
                <w:szCs w:val="16"/>
                <w:color w:val="auto"/>
                <w:w w:val="89"/>
              </w:rPr>
              <w:t>780,911</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DEEAF6"/>
          </w:tcPr>
          <w:p>
            <w:pPr>
              <w:jc w:val="center"/>
              <w:ind w:left="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9"/>
        </w:trPr>
        <w:tc>
          <w:tcPr>
            <w:tcW w:w="2000" w:type="dxa"/>
            <w:vAlign w:val="bottom"/>
            <w:shd w:val="clear" w:color="auto" w:fill="DEEAF6"/>
          </w:tcPr>
          <w:p>
            <w:pPr>
              <w:spacing w:after="0"/>
              <w:rPr>
                <w:sz w:val="21"/>
                <w:szCs w:val="21"/>
                <w:color w:val="auto"/>
              </w:rPr>
            </w:pP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1/3/2022</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ind w:lef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w w:val="93"/>
              </w:rPr>
              <w:t>35,796</w:t>
            </w:r>
          </w:p>
        </w:tc>
        <w:tc>
          <w:tcPr>
            <w:tcW w:w="1280" w:type="dxa"/>
            <w:vAlign w:val="bottom"/>
            <w:shd w:val="clear" w:color="auto" w:fill="DEEAF6"/>
          </w:tcPr>
          <w:p>
            <w:pPr>
              <w:jc w:val="center"/>
              <w:ind w:left="23"/>
              <w:spacing w:after="0"/>
              <w:rPr>
                <w:sz w:val="20"/>
                <w:szCs w:val="20"/>
                <w:color w:val="auto"/>
              </w:rPr>
            </w:pPr>
            <w:r>
              <w:rPr>
                <w:rFonts w:ascii="Arial" w:cs="Arial" w:eastAsia="Arial" w:hAnsi="Arial"/>
                <w:sz w:val="16"/>
                <w:szCs w:val="16"/>
                <w:color w:val="auto"/>
                <w:w w:val="93"/>
              </w:rPr>
              <w:t>170,188</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34.31</w:t>
            </w:r>
          </w:p>
        </w:tc>
        <w:tc>
          <w:tcPr>
            <w:tcW w:w="10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2"/>
              </w:rPr>
              <w:t>4,734,006</w:t>
            </w:r>
          </w:p>
        </w:tc>
        <w:tc>
          <w:tcPr>
            <w:tcW w:w="0" w:type="dxa"/>
            <w:vAlign w:val="bottom"/>
          </w:tcPr>
          <w:p>
            <w:pPr>
              <w:spacing w:after="0"/>
              <w:rPr>
                <w:sz w:val="1"/>
                <w:szCs w:val="1"/>
                <w:color w:val="auto"/>
              </w:rPr>
            </w:pPr>
          </w:p>
        </w:tc>
      </w:tr>
      <w:tr>
        <w:trPr>
          <w:trHeight w:val="229"/>
        </w:trPr>
        <w:tc>
          <w:tcPr>
            <w:tcW w:w="2000" w:type="dxa"/>
            <w:vAlign w:val="bottom"/>
          </w:tcPr>
          <w:p>
            <w:pPr>
              <w:ind w:left="120"/>
              <w:spacing w:after="0"/>
              <w:rPr>
                <w:sz w:val="20"/>
                <w:szCs w:val="20"/>
                <w:color w:val="auto"/>
              </w:rPr>
            </w:pPr>
            <w:r>
              <w:rPr>
                <w:rFonts w:ascii="Arial" w:cs="Arial" w:eastAsia="Arial" w:hAnsi="Arial"/>
                <w:sz w:val="16"/>
                <w:szCs w:val="16"/>
                <w:color w:val="auto"/>
              </w:rPr>
              <w:t>Vit Vasista</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192,315</w:t>
            </w:r>
          </w:p>
        </w:tc>
        <w:tc>
          <w:tcPr>
            <w:tcW w:w="1060" w:type="dxa"/>
            <w:vAlign w:val="bottom"/>
          </w:tcPr>
          <w:p>
            <w:pPr>
              <w:jc w:val="center"/>
              <w:ind w:left="41"/>
              <w:spacing w:after="0"/>
              <w:rPr>
                <w:sz w:val="20"/>
                <w:szCs w:val="20"/>
                <w:color w:val="auto"/>
              </w:rPr>
            </w:pPr>
            <w:r>
              <w:rPr>
                <w:rFonts w:ascii="Arial" w:cs="Arial" w:eastAsia="Arial" w:hAnsi="Arial"/>
                <w:sz w:val="16"/>
                <w:szCs w:val="16"/>
                <w:color w:val="auto"/>
                <w:w w:val="93"/>
              </w:rPr>
              <w:t>384,630</w:t>
            </w:r>
          </w:p>
        </w:tc>
        <w:tc>
          <w:tcPr>
            <w:tcW w:w="1200" w:type="dxa"/>
            <w:vAlign w:val="bottom"/>
          </w:tcPr>
          <w:p>
            <w:pPr>
              <w:jc w:val="center"/>
              <w:ind w:left="102"/>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DEEAF6"/>
          </w:tcPr>
          <w:p>
            <w:pPr>
              <w:jc w:val="center"/>
              <w:ind w:left="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1/3/2022</w:t>
            </w:r>
          </w:p>
        </w:tc>
        <w:tc>
          <w:tcPr>
            <w:tcW w:w="104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41"/>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102"/>
              <w:spacing w:after="0"/>
              <w:rPr>
                <w:sz w:val="20"/>
                <w:szCs w:val="20"/>
                <w:color w:val="auto"/>
              </w:rPr>
            </w:pPr>
            <w:r>
              <w:rPr>
                <w:rFonts w:ascii="Arial" w:cs="Arial" w:eastAsia="Arial" w:hAnsi="Arial"/>
                <w:sz w:val="16"/>
                <w:szCs w:val="16"/>
                <w:color w:val="auto"/>
                <w:w w:val="94"/>
              </w:rPr>
              <w:t>8,900</w:t>
            </w:r>
          </w:p>
        </w:tc>
        <w:tc>
          <w:tcPr>
            <w:tcW w:w="1280" w:type="dxa"/>
            <w:vAlign w:val="bottom"/>
          </w:tcPr>
          <w:p>
            <w:pPr>
              <w:jc w:val="center"/>
              <w:ind w:left="23"/>
              <w:spacing w:after="0"/>
              <w:rPr>
                <w:sz w:val="20"/>
                <w:szCs w:val="20"/>
                <w:color w:val="auto"/>
              </w:rPr>
            </w:pPr>
            <w:r>
              <w:rPr>
                <w:rFonts w:ascii="Arial" w:cs="Arial" w:eastAsia="Arial" w:hAnsi="Arial"/>
                <w:sz w:val="16"/>
                <w:szCs w:val="16"/>
                <w:color w:val="auto"/>
                <w:w w:val="93"/>
              </w:rPr>
              <w:t>42,500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34.31</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1,180,852</w:t>
            </w:r>
          </w:p>
        </w:tc>
        <w:tc>
          <w:tcPr>
            <w:tcW w:w="0" w:type="dxa"/>
            <w:vAlign w:val="bottom"/>
          </w:tcPr>
          <w:p>
            <w:pPr>
              <w:spacing w:after="0"/>
              <w:rPr>
                <w:sz w:val="1"/>
                <w:szCs w:val="1"/>
                <w:color w:val="auto"/>
              </w:rPr>
            </w:pPr>
          </w:p>
        </w:tc>
      </w:tr>
      <w:tr>
        <w:trPr>
          <w:trHeight w:val="220"/>
        </w:trPr>
        <w:tc>
          <w:tcPr>
            <w:tcW w:w="2000" w:type="dxa"/>
            <w:vAlign w:val="bottom"/>
            <w:shd w:val="clear" w:color="auto" w:fill="DEEAF6"/>
          </w:tcPr>
          <w:p>
            <w:pPr>
              <w:ind w:left="120"/>
              <w:spacing w:after="0"/>
              <w:rPr>
                <w:sz w:val="20"/>
                <w:szCs w:val="20"/>
                <w:color w:val="auto"/>
              </w:rPr>
            </w:pPr>
            <w:r>
              <w:rPr>
                <w:rFonts w:ascii="Arial" w:cs="Arial" w:eastAsia="Arial" w:hAnsi="Arial"/>
                <w:sz w:val="16"/>
                <w:szCs w:val="16"/>
                <w:color w:val="auto"/>
              </w:rPr>
              <w:t>Curran Simpson</w:t>
            </w: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189,973</w:t>
            </w:r>
          </w:p>
        </w:tc>
        <w:tc>
          <w:tcPr>
            <w:tcW w:w="1060" w:type="dxa"/>
            <w:vAlign w:val="bottom"/>
            <w:shd w:val="clear" w:color="auto" w:fill="DEEAF6"/>
          </w:tcPr>
          <w:p>
            <w:pPr>
              <w:jc w:val="center"/>
              <w:ind w:left="41"/>
              <w:spacing w:after="0"/>
              <w:rPr>
                <w:sz w:val="20"/>
                <w:szCs w:val="20"/>
                <w:color w:val="auto"/>
              </w:rPr>
            </w:pPr>
            <w:r>
              <w:rPr>
                <w:rFonts w:ascii="Arial" w:cs="Arial" w:eastAsia="Arial" w:hAnsi="Arial"/>
                <w:sz w:val="16"/>
                <w:szCs w:val="16"/>
                <w:color w:val="auto"/>
                <w:w w:val="93"/>
              </w:rPr>
              <w:t>379,946</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DEEAF6"/>
          </w:tcPr>
          <w:p>
            <w:pPr>
              <w:jc w:val="center"/>
              <w:ind w:left="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9"/>
        </w:trPr>
        <w:tc>
          <w:tcPr>
            <w:tcW w:w="2000" w:type="dxa"/>
            <w:vAlign w:val="bottom"/>
            <w:shd w:val="clear" w:color="auto" w:fill="DEEAF6"/>
          </w:tcPr>
          <w:p>
            <w:pPr>
              <w:spacing w:after="0"/>
              <w:rPr>
                <w:sz w:val="21"/>
                <w:szCs w:val="21"/>
                <w:color w:val="auto"/>
              </w:rPr>
            </w:pP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1/3/2022</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ind w:lef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w w:val="93"/>
              </w:rPr>
              <w:t>10,700</w:t>
            </w:r>
          </w:p>
        </w:tc>
        <w:tc>
          <w:tcPr>
            <w:tcW w:w="1280" w:type="dxa"/>
            <w:vAlign w:val="bottom"/>
            <w:shd w:val="clear" w:color="auto" w:fill="DEEAF6"/>
          </w:tcPr>
          <w:p>
            <w:pPr>
              <w:jc w:val="center"/>
              <w:ind w:left="23"/>
              <w:spacing w:after="0"/>
              <w:rPr>
                <w:sz w:val="20"/>
                <w:szCs w:val="20"/>
                <w:color w:val="auto"/>
              </w:rPr>
            </w:pPr>
            <w:r>
              <w:rPr>
                <w:rFonts w:ascii="Arial" w:cs="Arial" w:eastAsia="Arial" w:hAnsi="Arial"/>
                <w:sz w:val="16"/>
                <w:szCs w:val="16"/>
                <w:color w:val="auto"/>
                <w:w w:val="93"/>
              </w:rPr>
              <w:t>51,100</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34.31</w:t>
            </w:r>
          </w:p>
        </w:tc>
        <w:tc>
          <w:tcPr>
            <w:tcW w:w="10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2"/>
              </w:rPr>
              <w:t>1,419,769</w:t>
            </w:r>
          </w:p>
        </w:tc>
        <w:tc>
          <w:tcPr>
            <w:tcW w:w="0" w:type="dxa"/>
            <w:vAlign w:val="bottom"/>
          </w:tcPr>
          <w:p>
            <w:pPr>
              <w:spacing w:after="0"/>
              <w:rPr>
                <w:sz w:val="1"/>
                <w:szCs w:val="1"/>
                <w:color w:val="auto"/>
              </w:rPr>
            </w:pPr>
          </w:p>
        </w:tc>
      </w:tr>
      <w:tr>
        <w:trPr>
          <w:trHeight w:val="210"/>
        </w:trPr>
        <w:tc>
          <w:tcPr>
            <w:tcW w:w="2000" w:type="dxa"/>
            <w:vAlign w:val="bottom"/>
          </w:tcPr>
          <w:p>
            <w:pPr>
              <w:ind w:left="120"/>
              <w:spacing w:after="0"/>
              <w:rPr>
                <w:sz w:val="20"/>
                <w:szCs w:val="20"/>
                <w:color w:val="auto"/>
              </w:rPr>
            </w:pPr>
            <w:r>
              <w:rPr>
                <w:rFonts w:ascii="Arial" w:cs="Arial" w:eastAsia="Arial" w:hAnsi="Arial"/>
                <w:sz w:val="16"/>
                <w:szCs w:val="16"/>
                <w:color w:val="auto"/>
              </w:rPr>
              <w:t>Stephen Pakola, M.D.</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191,598</w:t>
            </w:r>
          </w:p>
        </w:tc>
        <w:tc>
          <w:tcPr>
            <w:tcW w:w="1060" w:type="dxa"/>
            <w:vAlign w:val="bottom"/>
          </w:tcPr>
          <w:p>
            <w:pPr>
              <w:jc w:val="center"/>
              <w:ind w:left="41"/>
              <w:spacing w:after="0"/>
              <w:rPr>
                <w:sz w:val="20"/>
                <w:szCs w:val="20"/>
                <w:color w:val="auto"/>
              </w:rPr>
            </w:pPr>
            <w:r>
              <w:rPr>
                <w:rFonts w:ascii="Arial" w:cs="Arial" w:eastAsia="Arial" w:hAnsi="Arial"/>
                <w:sz w:val="16"/>
                <w:szCs w:val="16"/>
                <w:color w:val="auto"/>
                <w:w w:val="93"/>
              </w:rPr>
              <w:t>383,197</w:t>
            </w:r>
          </w:p>
        </w:tc>
        <w:tc>
          <w:tcPr>
            <w:tcW w:w="1200" w:type="dxa"/>
            <w:vAlign w:val="bottom"/>
          </w:tcPr>
          <w:p>
            <w:pPr>
              <w:jc w:val="center"/>
              <w:ind w:left="102"/>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43"/>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left="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1/3/2022</w:t>
            </w:r>
          </w:p>
        </w:tc>
        <w:tc>
          <w:tcPr>
            <w:tcW w:w="104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41"/>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102"/>
              <w:spacing w:after="0"/>
              <w:rPr>
                <w:sz w:val="20"/>
                <w:szCs w:val="20"/>
                <w:color w:val="auto"/>
              </w:rPr>
            </w:pPr>
            <w:r>
              <w:rPr>
                <w:rFonts w:ascii="Arial" w:cs="Arial" w:eastAsia="Arial" w:hAnsi="Arial"/>
                <w:sz w:val="16"/>
                <w:szCs w:val="16"/>
                <w:color w:val="auto"/>
                <w:w w:val="94"/>
              </w:rPr>
              <w:t>8,900</w:t>
            </w:r>
          </w:p>
        </w:tc>
        <w:tc>
          <w:tcPr>
            <w:tcW w:w="1280" w:type="dxa"/>
            <w:vAlign w:val="bottom"/>
          </w:tcPr>
          <w:p>
            <w:pPr>
              <w:jc w:val="center"/>
              <w:ind w:left="23"/>
              <w:spacing w:after="0"/>
              <w:rPr>
                <w:sz w:val="20"/>
                <w:szCs w:val="20"/>
                <w:color w:val="auto"/>
              </w:rPr>
            </w:pPr>
            <w:r>
              <w:rPr>
                <w:rFonts w:ascii="Arial" w:cs="Arial" w:eastAsia="Arial" w:hAnsi="Arial"/>
                <w:sz w:val="16"/>
                <w:szCs w:val="16"/>
                <w:color w:val="auto"/>
                <w:w w:val="93"/>
              </w:rPr>
              <w:t>42,500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34.31</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1,180,852</w:t>
            </w:r>
          </w:p>
        </w:tc>
        <w:tc>
          <w:tcPr>
            <w:tcW w:w="0" w:type="dxa"/>
            <w:vAlign w:val="bottom"/>
          </w:tcPr>
          <w:p>
            <w:pPr>
              <w:spacing w:after="0"/>
              <w:rPr>
                <w:sz w:val="1"/>
                <w:szCs w:val="1"/>
                <w:color w:val="auto"/>
              </w:rPr>
            </w:pPr>
          </w:p>
        </w:tc>
      </w:tr>
      <w:tr>
        <w:trPr>
          <w:trHeight w:val="220"/>
        </w:trPr>
        <w:tc>
          <w:tcPr>
            <w:tcW w:w="2000" w:type="dxa"/>
            <w:vAlign w:val="bottom"/>
            <w:shd w:val="clear" w:color="auto" w:fill="DEEAF6"/>
          </w:tcPr>
          <w:p>
            <w:pPr>
              <w:ind w:left="120"/>
              <w:spacing w:after="0"/>
              <w:rPr>
                <w:sz w:val="20"/>
                <w:szCs w:val="20"/>
                <w:color w:val="auto"/>
              </w:rPr>
            </w:pPr>
            <w:r>
              <w:rPr>
                <w:rFonts w:ascii="Arial" w:cs="Arial" w:eastAsia="Arial" w:hAnsi="Arial"/>
                <w:sz w:val="16"/>
                <w:szCs w:val="16"/>
                <w:color w:val="auto"/>
              </w:rPr>
              <w:t>Olivier Danos, Ph.D.</w:t>
            </w: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193,176</w:t>
            </w:r>
          </w:p>
        </w:tc>
        <w:tc>
          <w:tcPr>
            <w:tcW w:w="1060" w:type="dxa"/>
            <w:vAlign w:val="bottom"/>
            <w:shd w:val="clear" w:color="auto" w:fill="DEEAF6"/>
          </w:tcPr>
          <w:p>
            <w:pPr>
              <w:jc w:val="center"/>
              <w:ind w:left="41"/>
              <w:spacing w:after="0"/>
              <w:rPr>
                <w:sz w:val="20"/>
                <w:szCs w:val="20"/>
                <w:color w:val="auto"/>
              </w:rPr>
            </w:pPr>
            <w:r>
              <w:rPr>
                <w:rFonts w:ascii="Arial" w:cs="Arial" w:eastAsia="Arial" w:hAnsi="Arial"/>
                <w:sz w:val="16"/>
                <w:szCs w:val="16"/>
                <w:color w:val="auto"/>
                <w:w w:val="93"/>
              </w:rPr>
              <w:t>386,352</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rPr>
              <w:t>—</w:t>
            </w:r>
          </w:p>
        </w:tc>
        <w:tc>
          <w:tcPr>
            <w:tcW w:w="1280" w:type="dxa"/>
            <w:vAlign w:val="bottom"/>
            <w:shd w:val="clear" w:color="auto" w:fill="DEEAF6"/>
          </w:tcPr>
          <w:p>
            <w:pPr>
              <w:jc w:val="center"/>
              <w:ind w:left="43"/>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DEEAF6"/>
          </w:tcPr>
          <w:p>
            <w:pPr>
              <w:jc w:val="center"/>
              <w:ind w:left="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9"/>
        </w:trPr>
        <w:tc>
          <w:tcPr>
            <w:tcW w:w="2000" w:type="dxa"/>
            <w:vAlign w:val="bottom"/>
            <w:shd w:val="clear" w:color="auto" w:fill="DEEAF6"/>
          </w:tcPr>
          <w:p>
            <w:pPr>
              <w:spacing w:after="0"/>
              <w:rPr>
                <w:sz w:val="21"/>
                <w:szCs w:val="21"/>
                <w:color w:val="auto"/>
              </w:rPr>
            </w:pPr>
          </w:p>
        </w:tc>
        <w:tc>
          <w:tcPr>
            <w:tcW w:w="13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3"/>
              </w:rPr>
              <w:t>1/3/2022</w:t>
            </w:r>
          </w:p>
        </w:tc>
        <w:tc>
          <w:tcPr>
            <w:tcW w:w="1040" w:type="dxa"/>
            <w:vAlign w:val="bottom"/>
            <w:shd w:val="clear" w:color="auto" w:fill="DEEAF6"/>
          </w:tcPr>
          <w:p>
            <w:pPr>
              <w:jc w:val="center"/>
              <w:ind w:right="41"/>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DEEAF6"/>
          </w:tcPr>
          <w:p>
            <w:pPr>
              <w:jc w:val="center"/>
              <w:ind w:lef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DEEAF6"/>
          </w:tcPr>
          <w:p>
            <w:pPr>
              <w:jc w:val="center"/>
              <w:ind w:left="102"/>
              <w:spacing w:after="0"/>
              <w:rPr>
                <w:sz w:val="20"/>
                <w:szCs w:val="20"/>
                <w:color w:val="auto"/>
              </w:rPr>
            </w:pPr>
            <w:r>
              <w:rPr>
                <w:rFonts w:ascii="Arial" w:cs="Arial" w:eastAsia="Arial" w:hAnsi="Arial"/>
                <w:sz w:val="16"/>
                <w:szCs w:val="16"/>
                <w:color w:val="auto"/>
                <w:w w:val="93"/>
              </w:rPr>
              <w:t>10,700</w:t>
            </w:r>
          </w:p>
        </w:tc>
        <w:tc>
          <w:tcPr>
            <w:tcW w:w="1280" w:type="dxa"/>
            <w:vAlign w:val="bottom"/>
            <w:shd w:val="clear" w:color="auto" w:fill="DEEAF6"/>
          </w:tcPr>
          <w:p>
            <w:pPr>
              <w:jc w:val="center"/>
              <w:ind w:left="23"/>
              <w:spacing w:after="0"/>
              <w:rPr>
                <w:sz w:val="20"/>
                <w:szCs w:val="20"/>
                <w:color w:val="auto"/>
              </w:rPr>
            </w:pPr>
            <w:r>
              <w:rPr>
                <w:rFonts w:ascii="Arial" w:cs="Arial" w:eastAsia="Arial" w:hAnsi="Arial"/>
                <w:sz w:val="16"/>
                <w:szCs w:val="16"/>
                <w:color w:val="auto"/>
                <w:w w:val="93"/>
              </w:rPr>
              <w:t>51,100</w:t>
            </w:r>
          </w:p>
        </w:tc>
        <w:tc>
          <w:tcPr>
            <w:tcW w:w="116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89"/>
              </w:rPr>
              <w:t>34.31</w:t>
            </w:r>
          </w:p>
        </w:tc>
        <w:tc>
          <w:tcPr>
            <w:tcW w:w="1080" w:type="dxa"/>
            <w:vAlign w:val="bottom"/>
            <w:shd w:val="clear" w:color="auto" w:fill="DEEAF6"/>
          </w:tcPr>
          <w:p>
            <w:pPr>
              <w:jc w:val="center"/>
              <w:spacing w:after="0"/>
              <w:rPr>
                <w:sz w:val="20"/>
                <w:szCs w:val="20"/>
                <w:color w:val="auto"/>
              </w:rPr>
            </w:pPr>
            <w:r>
              <w:rPr>
                <w:rFonts w:ascii="Arial" w:cs="Arial" w:eastAsia="Arial" w:hAnsi="Arial"/>
                <w:sz w:val="16"/>
                <w:szCs w:val="16"/>
                <w:color w:val="auto"/>
                <w:w w:val="92"/>
              </w:rPr>
              <w:t>1,419,769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jc w:val="both"/>
        <w:ind w:left="760" w:right="40" w:hanging="752"/>
        <w:spacing w:after="0" w:line="271"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represent the threshold, target and maximum 2022 award opportunities for our NEOs under our annual cash incentive program. See the CD&amp;A for information regarding the criteria applied in determining the amounts payable under the annual cash incentives. The amounts paid are included in the “Non-Equity Incentive Plan Compensation” column of the Summary Compensation Table.</w:t>
      </w:r>
    </w:p>
    <w:p>
      <w:pPr>
        <w:ind w:left="760" w:right="80" w:hanging="752"/>
        <w:spacing w:after="0" w:line="250"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RSUs granted to our NEOs in 2022 pursuant to our 2021 long-term equity incentive program. These RSUs vest over a four-year period, with 25% of the shares vesting on each of the first, second, third and fourth anniversaries of the first day of the month in which the RSU was granted, provided that the recipient provides continuous service to the Company.</w:t>
      </w:r>
    </w:p>
    <w:p>
      <w:pPr>
        <w:spacing w:after="0" w:line="1" w:lineRule="exact"/>
        <w:rPr>
          <w:rFonts w:ascii="Arial" w:cs="Arial" w:eastAsia="Arial" w:hAnsi="Arial"/>
          <w:sz w:val="18"/>
          <w:szCs w:val="18"/>
          <w:color w:val="auto"/>
        </w:rPr>
      </w:pPr>
    </w:p>
    <w:p>
      <w:pPr>
        <w:ind w:left="760" w:right="80" w:hanging="752"/>
        <w:spacing w:after="0" w:line="265"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represent the options granted to our NEOs in 2022 pursuant to our 2021 long-term equity incentive program. These options vest over a four-year period, with 25% of the shares vesting after 12 months from the date of grant and the balance vesting in equal monthly installments over the 36 months thereafter, provided that the optionee provides continuous service to the Company.</w:t>
      </w:r>
    </w:p>
    <w:p>
      <w:pPr>
        <w:ind w:left="760" w:right="80" w:hanging="752"/>
        <w:spacing w:after="0" w:line="255"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RSUs and options granted during 2022 calculated in accordance with FASB ASC Topic 718. See Note 11, “Stock-based Compensation,” to the financial statements included in our Annual Report for a discussion of the assumptions we made in determining the grant date fair value of our equity awards.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229" w:lineRule="exact"/>
        <w:rPr>
          <w:sz w:val="20"/>
          <w:szCs w:val="20"/>
          <w:color w:val="auto"/>
        </w:rPr>
      </w:pPr>
    </w:p>
    <w:p>
      <w:pPr>
        <w:ind w:right="220" w:firstLine="749"/>
        <w:spacing w:after="0" w:line="286" w:lineRule="auto"/>
        <w:rPr>
          <w:sz w:val="20"/>
          <w:szCs w:val="20"/>
          <w:color w:val="auto"/>
        </w:rPr>
      </w:pPr>
      <w:r>
        <w:rPr>
          <w:rFonts w:ascii="Arial" w:cs="Arial" w:eastAsia="Arial" w:hAnsi="Arial"/>
          <w:sz w:val="17"/>
          <w:szCs w:val="17"/>
          <w:color w:val="auto"/>
        </w:rPr>
        <w:t>The following table sets forth information regarding each outstanding and unexercised option held by each of our NEOs as of December 31, 2022. The number of shares subject to each award and, where applicable, the exercise price per share, reflects all changes as a result of our capitalization adjustments. The vesting schedule applicable to each outstanding award is described in the footnotes to the table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9"/>
                <w:szCs w:val="19"/>
                <w:b w:val="1"/>
                <w:bCs w:val="1"/>
                <w:color w:val="auto"/>
                <w:vertAlign w:val="superscript"/>
              </w:rPr>
              <w:t>(1)</w:t>
            </w:r>
          </w:p>
        </w:tc>
        <w:tc>
          <w:tcPr>
            <w:tcW w:w="1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Vesting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1"/>
              </w:rPr>
              <w:t>Option Exercise</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Unexercised</w:t>
            </w:r>
          </w:p>
        </w:tc>
        <w:tc>
          <w:tcPr>
            <w:tcW w:w="1400" w:type="dxa"/>
            <w:vAlign w:val="bottom"/>
            <w:vMerge w:val="continue"/>
          </w:tcPr>
          <w:p>
            <w:pPr>
              <w:spacing w:after="0"/>
              <w:rPr>
                <w:sz w:val="12"/>
                <w:szCs w:val="12"/>
                <w:color w:val="auto"/>
              </w:rPr>
            </w:pP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Option Expiration</w:t>
            </w:r>
          </w:p>
        </w:tc>
        <w:tc>
          <w:tcPr>
            <w:tcW w:w="160" w:type="dxa"/>
            <w:vAlign w:val="bottom"/>
          </w:tcPr>
          <w:p>
            <w:pPr>
              <w:spacing w:after="0"/>
              <w:rPr>
                <w:sz w:val="12"/>
                <w:szCs w:val="12"/>
                <w:color w:val="auto"/>
              </w:rPr>
            </w:pPr>
          </w:p>
        </w:tc>
        <w:tc>
          <w:tcPr>
            <w:tcW w:w="1260" w:type="dxa"/>
            <w:vAlign w:val="bottom"/>
          </w:tcPr>
          <w:p>
            <w:pPr>
              <w:ind w:left="40"/>
              <w:spacing w:after="0" w:line="145" w:lineRule="exact"/>
              <w:rPr>
                <w:sz w:val="20"/>
                <w:szCs w:val="20"/>
                <w:color w:val="auto"/>
              </w:rPr>
            </w:pPr>
            <w:r>
              <w:rPr>
                <w:rFonts w:ascii="Arial" w:cs="Arial" w:eastAsia="Arial" w:hAnsi="Arial"/>
                <w:sz w:val="14"/>
                <w:szCs w:val="14"/>
                <w:b w:val="1"/>
                <w:bCs w:val="1"/>
                <w:color w:val="auto"/>
                <w:w w:val="99"/>
              </w:rPr>
              <w:t>Shares or Units of</w:t>
            </w:r>
          </w:p>
        </w:tc>
        <w:tc>
          <w:tcPr>
            <w:tcW w:w="130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Commencement</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Options</w:t>
            </w:r>
          </w:p>
        </w:tc>
        <w:tc>
          <w:tcPr>
            <w:tcW w:w="140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3"/>
              </w:rPr>
              <w:t>Price</w:t>
            </w:r>
          </w:p>
        </w:tc>
        <w:tc>
          <w:tcPr>
            <w:tcW w:w="1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Stock that Have</w:t>
            </w:r>
          </w:p>
        </w:tc>
        <w:tc>
          <w:tcPr>
            <w:tcW w:w="1300" w:type="dxa"/>
            <w:vAlign w:val="bottom"/>
          </w:tcPr>
          <w:p>
            <w:pPr>
              <w:jc w:val="center"/>
              <w:ind w:left="48"/>
              <w:spacing w:after="0" w:line="153" w:lineRule="exact"/>
              <w:rPr>
                <w:sz w:val="20"/>
                <w:szCs w:val="20"/>
                <w:color w:val="auto"/>
              </w:rPr>
            </w:pPr>
            <w:r>
              <w:rPr>
                <w:rFonts w:ascii="Arial" w:cs="Arial" w:eastAsia="Arial" w:hAnsi="Arial"/>
                <w:sz w:val="13"/>
                <w:szCs w:val="13"/>
                <w:b w:val="1"/>
                <w:bCs w:val="1"/>
                <w:color w:val="auto"/>
                <w:w w:val="95"/>
              </w:rPr>
              <w:t>Not Vested</w:t>
            </w:r>
            <w:r>
              <w:rPr>
                <w:rFonts w:ascii="Arial" w:cs="Arial" w:eastAsia="Arial" w:hAnsi="Arial"/>
                <w:sz w:val="17"/>
                <w:szCs w:val="17"/>
                <w:b w:val="1"/>
                <w:bCs w:val="1"/>
                <w:color w:val="auto"/>
                <w:w w:val="95"/>
                <w:vertAlign w:val="superscript"/>
              </w:rPr>
              <w:t>(3)</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4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13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15"/>
        </w:trPr>
        <w:tc>
          <w:tcPr>
            <w:tcW w:w="1540" w:type="dxa"/>
            <w:vAlign w:val="bottom"/>
            <w:vMerge w:val="restart"/>
            <w:shd w:val="clear" w:color="auto" w:fill="DEEAF6"/>
          </w:tcPr>
          <w:p>
            <w:pPr>
              <w:ind w:left="120"/>
              <w:spacing w:after="0"/>
              <w:rPr>
                <w:sz w:val="20"/>
                <w:szCs w:val="20"/>
                <w:color w:val="auto"/>
              </w:rPr>
            </w:pPr>
            <w:r>
              <w:rPr>
                <w:rFonts w:ascii="Arial" w:cs="Arial" w:eastAsia="Arial" w:hAnsi="Arial"/>
                <w:sz w:val="14"/>
                <w:szCs w:val="14"/>
                <w:color w:val="auto"/>
              </w:rPr>
              <w:t>Kenneth T. Mills</w:t>
            </w:r>
          </w:p>
        </w:tc>
        <w:tc>
          <w:tcPr>
            <w:tcW w:w="1380" w:type="dxa"/>
            <w:vAlign w:val="bottom"/>
            <w:gridSpan w:val="2"/>
            <w:vMerge w:val="restart"/>
            <w:shd w:val="clear" w:color="auto" w:fill="DEEAF6"/>
          </w:tcPr>
          <w:p>
            <w:pPr>
              <w:jc w:val="center"/>
              <w:ind w:left="88"/>
              <w:spacing w:after="0"/>
              <w:rPr>
                <w:sz w:val="20"/>
                <w:szCs w:val="20"/>
                <w:color w:val="auto"/>
              </w:rPr>
            </w:pPr>
            <w:r>
              <w:rPr>
                <w:rFonts w:ascii="Arial" w:cs="Arial" w:eastAsia="Arial" w:hAnsi="Arial"/>
                <w:sz w:val="14"/>
                <w:szCs w:val="14"/>
                <w:color w:val="auto"/>
                <w:w w:val="93"/>
              </w:rPr>
              <w:t>9/17/2014</w:t>
            </w:r>
          </w:p>
        </w:tc>
        <w:tc>
          <w:tcPr>
            <w:tcW w:w="160" w:type="dxa"/>
            <w:vAlign w:val="bottom"/>
            <w:shd w:val="clear" w:color="auto" w:fill="DEEAF6"/>
          </w:tcPr>
          <w:p>
            <w:pPr>
              <w:spacing w:after="0"/>
              <w:rPr>
                <w:sz w:val="10"/>
                <w:szCs w:val="10"/>
                <w:color w:val="auto"/>
              </w:rPr>
            </w:pPr>
          </w:p>
        </w:tc>
        <w:tc>
          <w:tcPr>
            <w:tcW w:w="1200" w:type="dxa"/>
            <w:vAlign w:val="bottom"/>
            <w:vMerge w:val="restart"/>
            <w:shd w:val="clear" w:color="auto" w:fill="DEEAF6"/>
          </w:tcPr>
          <w:p>
            <w:pPr>
              <w:jc w:val="center"/>
              <w:spacing w:after="0"/>
              <w:rPr>
                <w:sz w:val="20"/>
                <w:szCs w:val="20"/>
                <w:color w:val="auto"/>
              </w:rPr>
            </w:pPr>
            <w:r>
              <w:rPr>
                <w:rFonts w:ascii="Arial" w:cs="Arial" w:eastAsia="Arial" w:hAnsi="Arial"/>
                <w:sz w:val="14"/>
                <w:szCs w:val="14"/>
                <w:color w:val="auto"/>
                <w:w w:val="93"/>
              </w:rPr>
              <w:t>37,816</w:t>
            </w:r>
          </w:p>
        </w:tc>
        <w:tc>
          <w:tcPr>
            <w:tcW w:w="160" w:type="dxa"/>
            <w:vAlign w:val="bottom"/>
            <w:shd w:val="clear" w:color="auto" w:fill="DEEAF6"/>
          </w:tcPr>
          <w:p>
            <w:pPr>
              <w:jc w:val="right"/>
              <w:spacing w:after="0"/>
              <w:rPr>
                <w:sz w:val="20"/>
                <w:szCs w:val="20"/>
                <w:color w:val="auto"/>
              </w:rPr>
            </w:pPr>
            <w:r>
              <w:rPr>
                <w:rFonts w:ascii="Arial" w:cs="Arial" w:eastAsia="Arial" w:hAnsi="Arial"/>
                <w:sz w:val="10"/>
                <w:szCs w:val="10"/>
                <w:color w:val="auto"/>
                <w:w w:val="81"/>
              </w:rPr>
              <w:t>(4)</w:t>
            </w:r>
          </w:p>
        </w:tc>
        <w:tc>
          <w:tcPr>
            <w:tcW w:w="160" w:type="dxa"/>
            <w:vAlign w:val="bottom"/>
            <w:shd w:val="clear" w:color="auto" w:fill="DEEAF6"/>
          </w:tcPr>
          <w:p>
            <w:pPr>
              <w:spacing w:after="0"/>
              <w:rPr>
                <w:sz w:val="10"/>
                <w:szCs w:val="10"/>
                <w:color w:val="auto"/>
              </w:rPr>
            </w:pPr>
          </w:p>
        </w:tc>
        <w:tc>
          <w:tcPr>
            <w:tcW w:w="1200" w:type="dxa"/>
            <w:vAlign w:val="bottom"/>
            <w:vMerge w:val="restart"/>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DEEAF6"/>
          </w:tcPr>
          <w:p>
            <w:pPr>
              <w:jc w:val="center"/>
              <w:ind w:left="48"/>
              <w:spacing w:after="0"/>
              <w:rPr>
                <w:sz w:val="20"/>
                <w:szCs w:val="20"/>
                <w:color w:val="auto"/>
              </w:rPr>
            </w:pPr>
            <w:r>
              <w:rPr>
                <w:rFonts w:ascii="Arial" w:cs="Arial" w:eastAsia="Arial" w:hAnsi="Arial"/>
                <w:sz w:val="14"/>
                <w:szCs w:val="14"/>
                <w:color w:val="auto"/>
                <w:w w:val="87"/>
              </w:rPr>
              <w:t>0.85</w:t>
            </w:r>
          </w:p>
        </w:tc>
        <w:tc>
          <w:tcPr>
            <w:tcW w:w="1320" w:type="dxa"/>
            <w:vAlign w:val="bottom"/>
            <w:vMerge w:val="restart"/>
            <w:shd w:val="clear" w:color="auto" w:fill="DEEAF6"/>
          </w:tcPr>
          <w:p>
            <w:pPr>
              <w:jc w:val="center"/>
              <w:ind w:left="68"/>
              <w:spacing w:after="0"/>
              <w:rPr>
                <w:sz w:val="20"/>
                <w:szCs w:val="20"/>
                <w:color w:val="auto"/>
              </w:rPr>
            </w:pPr>
            <w:r>
              <w:rPr>
                <w:rFonts w:ascii="Arial" w:cs="Arial" w:eastAsia="Arial" w:hAnsi="Arial"/>
                <w:sz w:val="14"/>
                <w:szCs w:val="14"/>
                <w:color w:val="auto"/>
                <w:w w:val="93"/>
              </w:rPr>
              <w:t>9/24/2024</w:t>
            </w:r>
          </w:p>
        </w:tc>
        <w:tc>
          <w:tcPr>
            <w:tcW w:w="160" w:type="dxa"/>
            <w:vAlign w:val="bottom"/>
            <w:shd w:val="clear" w:color="auto" w:fill="DEEAF6"/>
          </w:tcPr>
          <w:p>
            <w:pPr>
              <w:spacing w:after="0"/>
              <w:rPr>
                <w:sz w:val="10"/>
                <w:szCs w:val="10"/>
                <w:color w:val="auto"/>
              </w:rPr>
            </w:pPr>
          </w:p>
        </w:tc>
        <w:tc>
          <w:tcPr>
            <w:tcW w:w="1260" w:type="dxa"/>
            <w:vAlign w:val="bottom"/>
            <w:vMerge w:val="restart"/>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vMerge w:val="restart"/>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4"/>
        </w:trPr>
        <w:tc>
          <w:tcPr>
            <w:tcW w:w="1540" w:type="dxa"/>
            <w:vAlign w:val="bottom"/>
            <w:vMerge w:val="continue"/>
            <w:shd w:val="clear" w:color="auto" w:fill="DEEAF6"/>
          </w:tcPr>
          <w:p>
            <w:pPr>
              <w:spacing w:after="0"/>
              <w:rPr>
                <w:sz w:val="4"/>
                <w:szCs w:val="4"/>
                <w:color w:val="auto"/>
              </w:rPr>
            </w:pPr>
          </w:p>
        </w:tc>
        <w:tc>
          <w:tcPr>
            <w:tcW w:w="1380" w:type="dxa"/>
            <w:vAlign w:val="bottom"/>
            <w:gridSpan w:val="2"/>
            <w:vMerge w:val="continue"/>
            <w:shd w:val="clear" w:color="auto" w:fill="DEEAF6"/>
          </w:tcPr>
          <w:p>
            <w:pPr>
              <w:spacing w:after="0"/>
              <w:rPr>
                <w:sz w:val="4"/>
                <w:szCs w:val="4"/>
                <w:color w:val="auto"/>
              </w:rPr>
            </w:pPr>
          </w:p>
        </w:tc>
        <w:tc>
          <w:tcPr>
            <w:tcW w:w="160" w:type="dxa"/>
            <w:vAlign w:val="bottom"/>
            <w:shd w:val="clear" w:color="auto" w:fill="DEEAF6"/>
          </w:tcPr>
          <w:p>
            <w:pPr>
              <w:spacing w:after="0"/>
              <w:rPr>
                <w:sz w:val="4"/>
                <w:szCs w:val="4"/>
                <w:color w:val="auto"/>
              </w:rPr>
            </w:pPr>
          </w:p>
        </w:tc>
        <w:tc>
          <w:tcPr>
            <w:tcW w:w="1200" w:type="dxa"/>
            <w:vAlign w:val="bottom"/>
            <w:vMerge w:val="continue"/>
            <w:shd w:val="clear" w:color="auto" w:fill="DEEAF6"/>
          </w:tcPr>
          <w:p>
            <w:pPr>
              <w:spacing w:after="0"/>
              <w:rPr>
                <w:sz w:val="4"/>
                <w:szCs w:val="4"/>
                <w:color w:val="auto"/>
              </w:rPr>
            </w:pPr>
          </w:p>
        </w:tc>
        <w:tc>
          <w:tcPr>
            <w:tcW w:w="160" w:type="dxa"/>
            <w:vAlign w:val="bottom"/>
            <w:shd w:val="clear" w:color="auto" w:fill="DEEAF6"/>
          </w:tcPr>
          <w:p>
            <w:pPr>
              <w:spacing w:after="0"/>
              <w:rPr>
                <w:sz w:val="4"/>
                <w:szCs w:val="4"/>
                <w:color w:val="auto"/>
              </w:rPr>
            </w:pPr>
          </w:p>
        </w:tc>
        <w:tc>
          <w:tcPr>
            <w:tcW w:w="160" w:type="dxa"/>
            <w:vAlign w:val="bottom"/>
            <w:shd w:val="clear" w:color="auto" w:fill="DEEAF6"/>
          </w:tcPr>
          <w:p>
            <w:pPr>
              <w:spacing w:after="0"/>
              <w:rPr>
                <w:sz w:val="4"/>
                <w:szCs w:val="4"/>
                <w:color w:val="auto"/>
              </w:rPr>
            </w:pPr>
          </w:p>
        </w:tc>
        <w:tc>
          <w:tcPr>
            <w:tcW w:w="1200" w:type="dxa"/>
            <w:vAlign w:val="bottom"/>
            <w:vMerge w:val="continue"/>
            <w:shd w:val="clear" w:color="auto" w:fill="DEEAF6"/>
          </w:tcPr>
          <w:p>
            <w:pPr>
              <w:spacing w:after="0"/>
              <w:rPr>
                <w:sz w:val="4"/>
                <w:szCs w:val="4"/>
                <w:color w:val="auto"/>
              </w:rPr>
            </w:pPr>
          </w:p>
        </w:tc>
        <w:tc>
          <w:tcPr>
            <w:tcW w:w="1400" w:type="dxa"/>
            <w:vAlign w:val="bottom"/>
            <w:vMerge w:val="continue"/>
            <w:shd w:val="clear" w:color="auto" w:fill="DEEAF6"/>
          </w:tcPr>
          <w:p>
            <w:pPr>
              <w:spacing w:after="0"/>
              <w:rPr>
                <w:sz w:val="4"/>
                <w:szCs w:val="4"/>
                <w:color w:val="auto"/>
              </w:rPr>
            </w:pPr>
          </w:p>
        </w:tc>
        <w:tc>
          <w:tcPr>
            <w:tcW w:w="1320" w:type="dxa"/>
            <w:vAlign w:val="bottom"/>
            <w:vMerge w:val="continue"/>
            <w:shd w:val="clear" w:color="auto" w:fill="DEEAF6"/>
          </w:tcPr>
          <w:p>
            <w:pPr>
              <w:spacing w:after="0"/>
              <w:rPr>
                <w:sz w:val="4"/>
                <w:szCs w:val="4"/>
                <w:color w:val="auto"/>
              </w:rPr>
            </w:pPr>
          </w:p>
        </w:tc>
        <w:tc>
          <w:tcPr>
            <w:tcW w:w="160" w:type="dxa"/>
            <w:vAlign w:val="bottom"/>
            <w:shd w:val="clear" w:color="auto" w:fill="DEEAF6"/>
          </w:tcPr>
          <w:p>
            <w:pPr>
              <w:spacing w:after="0"/>
              <w:rPr>
                <w:sz w:val="4"/>
                <w:szCs w:val="4"/>
                <w:color w:val="auto"/>
              </w:rPr>
            </w:pPr>
          </w:p>
        </w:tc>
        <w:tc>
          <w:tcPr>
            <w:tcW w:w="1260" w:type="dxa"/>
            <w:vAlign w:val="bottom"/>
            <w:vMerge w:val="continue"/>
            <w:shd w:val="clear" w:color="auto" w:fill="DEEAF6"/>
          </w:tcPr>
          <w:p>
            <w:pPr>
              <w:spacing w:after="0"/>
              <w:rPr>
                <w:sz w:val="4"/>
                <w:szCs w:val="4"/>
                <w:color w:val="auto"/>
              </w:rPr>
            </w:pPr>
          </w:p>
        </w:tc>
        <w:tc>
          <w:tcPr>
            <w:tcW w:w="1300" w:type="dxa"/>
            <w:vAlign w:val="bottom"/>
            <w:vMerge w:val="continue"/>
            <w:shd w:val="clear" w:color="auto" w:fill="DEEAF6"/>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5/19/2015</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229,854</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87"/>
              </w:rPr>
              <w:t>3.76</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3"/>
              </w:rPr>
              <w:t>5/19/2025</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1/28/2016</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225,000</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13.09</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3"/>
              </w:rPr>
              <w:t>1/28/2026</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1/4/2017</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130,000</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19.50</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1/4/2027</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1/3/2018</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163,500</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35.80</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1/3/2028</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1/3/2019</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186,042</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1"/>
              </w:rPr>
              <w:t>3,958</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40.82</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1/3/2029</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1/2/2020</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0"/>
              </w:rPr>
              <w:t>196,875</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73,125</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38.99</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1/2/2030</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1/4/2021</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88,726</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96,441</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44.97</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1/4/2031</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88"/>
              </w:rPr>
              <w:t>30,738</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697,138</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1/3/2022</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4"/>
              </w:rPr>
              <w:t>170,188</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34.31</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1/3/2032</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88"/>
              </w:rPr>
              <w:t>35,796</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811,853</w:t>
            </w:r>
          </w:p>
        </w:tc>
        <w:tc>
          <w:tcPr>
            <w:tcW w:w="0" w:type="dxa"/>
            <w:vAlign w:val="bottom"/>
          </w:tcPr>
          <w:p>
            <w:pPr>
              <w:spacing w:after="0"/>
              <w:rPr>
                <w:sz w:val="1"/>
                <w:szCs w:val="1"/>
                <w:color w:val="auto"/>
              </w:rPr>
            </w:pPr>
          </w:p>
        </w:tc>
      </w:tr>
      <w:tr>
        <w:trPr>
          <w:trHeight w:val="122"/>
        </w:trPr>
        <w:tc>
          <w:tcPr>
            <w:tcW w:w="1540" w:type="dxa"/>
            <w:vAlign w:val="bottom"/>
            <w:vMerge w:val="restart"/>
          </w:tcPr>
          <w:p>
            <w:pPr>
              <w:ind w:left="120"/>
              <w:spacing w:after="0"/>
              <w:rPr>
                <w:sz w:val="20"/>
                <w:szCs w:val="20"/>
                <w:color w:val="auto"/>
              </w:rPr>
            </w:pPr>
            <w:r>
              <w:rPr>
                <w:rFonts w:ascii="Arial" w:cs="Arial" w:eastAsia="Arial" w:hAnsi="Arial"/>
                <w:sz w:val="14"/>
                <w:szCs w:val="14"/>
                <w:color w:val="auto"/>
              </w:rPr>
              <w:t>Vit Vasista</w:t>
            </w:r>
          </w:p>
        </w:tc>
        <w:tc>
          <w:tcPr>
            <w:tcW w:w="138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3"/>
              </w:rPr>
              <w:t>9/17/2014</w:t>
            </w:r>
          </w:p>
        </w:tc>
        <w:tc>
          <w:tcPr>
            <w:tcW w:w="16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3"/>
              </w:rPr>
              <w:t>35,000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(5)</w:t>
            </w:r>
          </w:p>
        </w:tc>
        <w:tc>
          <w:tcPr>
            <w:tcW w:w="16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center"/>
              <w:ind w:left="48"/>
              <w:spacing w:after="0"/>
              <w:rPr>
                <w:sz w:val="20"/>
                <w:szCs w:val="20"/>
                <w:color w:val="auto"/>
              </w:rPr>
            </w:pPr>
            <w:r>
              <w:rPr>
                <w:rFonts w:ascii="Arial" w:cs="Arial" w:eastAsia="Arial" w:hAnsi="Arial"/>
                <w:sz w:val="14"/>
                <w:szCs w:val="14"/>
                <w:color w:val="auto"/>
                <w:w w:val="87"/>
              </w:rPr>
              <w:t>0.85</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color w:val="auto"/>
                <w:w w:val="93"/>
              </w:rPr>
              <w:t>9/24/2024</w:t>
            </w:r>
          </w:p>
        </w:tc>
        <w:tc>
          <w:tcPr>
            <w:tcW w:w="16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8"/>
        </w:trPr>
        <w:tc>
          <w:tcPr>
            <w:tcW w:w="154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5/19/2015</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20,041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87"/>
              </w:rPr>
              <w:t>3.76</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3"/>
              </w:rPr>
              <w:t>5/19/2025</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1/28/2016</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8"/>
              </w:rPr>
              <w:t>14,115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13.09</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3"/>
              </w:rPr>
              <w:t>1/28/2026</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1/4/2017</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29,167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19.50</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1/4/2027</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1/3/2018</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55,000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35.80</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1/3/2028</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1/3/2019</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55,813</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1,187</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40.82</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1/3/2029</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1/2/2020</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36,458</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13,542</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38.99</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1/2/2030</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1/4/2021</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26,929</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29,271</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44.97</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1/4/2031</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9,300</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0"/>
              </w:rPr>
              <w:t>210,924</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1/3/2022</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42,500</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34.31</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1/3/2032</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8,900</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0"/>
              </w:rPr>
              <w:t>201,852</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Curran Simpson</w:t>
            </w:r>
          </w:p>
        </w:tc>
        <w:tc>
          <w:tcPr>
            <w:tcW w:w="138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1"/>
              </w:rPr>
              <w:t>1/3/2018</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17,128</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35.80</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1/3/2028</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1/3/2019</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45,042</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85"/>
              </w:rPr>
              <w:t>958</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40.82</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1/3/2029</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1/2/2020</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33,542</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12,458</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38.99</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1/2/2030</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1/4/2021</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29,852</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32,448</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44.97</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1/4/2031</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88"/>
              </w:rPr>
              <w:t>10,350</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234,738</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1/3/2022</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51,100</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34.31</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1/3/2032</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88"/>
              </w:rPr>
              <w:t>10,700</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242,676</w:t>
            </w:r>
          </w:p>
        </w:tc>
        <w:tc>
          <w:tcPr>
            <w:tcW w:w="0" w:type="dxa"/>
            <w:vAlign w:val="bottom"/>
          </w:tcPr>
          <w:p>
            <w:pPr>
              <w:spacing w:after="0"/>
              <w:rPr>
                <w:sz w:val="1"/>
                <w:szCs w:val="1"/>
                <w:color w:val="auto"/>
              </w:rPr>
            </w:pPr>
          </w:p>
        </w:tc>
      </w:tr>
      <w:tr>
        <w:trPr>
          <w:trHeight w:val="170"/>
        </w:trPr>
        <w:tc>
          <w:tcPr>
            <w:tcW w:w="1540" w:type="dxa"/>
            <w:vAlign w:val="bottom"/>
          </w:tcPr>
          <w:p>
            <w:pPr>
              <w:ind w:left="120"/>
              <w:spacing w:after="0"/>
              <w:rPr>
                <w:sz w:val="20"/>
                <w:szCs w:val="20"/>
                <w:color w:val="auto"/>
              </w:rPr>
            </w:pPr>
            <w:r>
              <w:rPr>
                <w:rFonts w:ascii="Arial" w:cs="Arial" w:eastAsia="Arial" w:hAnsi="Arial"/>
                <w:sz w:val="14"/>
                <w:szCs w:val="14"/>
                <w:color w:val="auto"/>
              </w:rPr>
              <w:t>Stephen Pakola, M.D.</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4/17/2019</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87,083</w:t>
            </w:r>
          </w:p>
        </w:tc>
        <w:tc>
          <w:tcPr>
            <w:tcW w:w="160" w:type="dxa"/>
            <w:vAlign w:val="bottom"/>
          </w:tcPr>
          <w:p>
            <w:pPr>
              <w:spacing w:after="0"/>
              <w:rPr>
                <w:sz w:val="14"/>
                <w:szCs w:val="14"/>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7,917</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54.72</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3"/>
              </w:rPr>
              <w:t>4/17/2029</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1/2/2020</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31,063</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11,537</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38.99</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1/2/2030</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1/4/2021</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23,815</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25,885</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44.97</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1/4/2031</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8,250</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0"/>
              </w:rPr>
              <w:t>187,110</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138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1/3/2022</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360" w:type="dxa"/>
            <w:vAlign w:val="bottom"/>
            <w:gridSpan w:val="2"/>
          </w:tcPr>
          <w:p>
            <w:pPr>
              <w:jc w:val="center"/>
              <w:ind w:left="88"/>
              <w:spacing w:after="0"/>
              <w:rPr>
                <w:sz w:val="20"/>
                <w:szCs w:val="20"/>
                <w:color w:val="auto"/>
              </w:rPr>
            </w:pPr>
            <w:r>
              <w:rPr>
                <w:rFonts w:ascii="Arial" w:cs="Arial" w:eastAsia="Arial" w:hAnsi="Arial"/>
                <w:sz w:val="14"/>
                <w:szCs w:val="14"/>
                <w:color w:val="auto"/>
                <w:w w:val="93"/>
              </w:rPr>
              <w:t>42,500</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34.31</w:t>
            </w:r>
          </w:p>
        </w:tc>
        <w:tc>
          <w:tcPr>
            <w:tcW w:w="1320" w:type="dxa"/>
            <w:vAlign w:val="bottom"/>
          </w:tcPr>
          <w:p>
            <w:pPr>
              <w:jc w:val="center"/>
              <w:ind w:left="68"/>
              <w:spacing w:after="0"/>
              <w:rPr>
                <w:sz w:val="20"/>
                <w:szCs w:val="20"/>
                <w:color w:val="auto"/>
              </w:rPr>
            </w:pPr>
            <w:r>
              <w:rPr>
                <w:rFonts w:ascii="Arial" w:cs="Arial" w:eastAsia="Arial" w:hAnsi="Arial"/>
                <w:sz w:val="14"/>
                <w:szCs w:val="14"/>
                <w:color w:val="auto"/>
                <w:w w:val="91"/>
              </w:rPr>
              <w:t>1/3/2032</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8,900</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w w:val="90"/>
              </w:rPr>
              <w:t>201,852</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ind w:left="120"/>
              <w:spacing w:after="0"/>
              <w:rPr>
                <w:sz w:val="20"/>
                <w:szCs w:val="20"/>
                <w:color w:val="auto"/>
              </w:rPr>
            </w:pPr>
            <w:r>
              <w:rPr>
                <w:rFonts w:ascii="Arial" w:cs="Arial" w:eastAsia="Arial" w:hAnsi="Arial"/>
                <w:sz w:val="14"/>
                <w:szCs w:val="14"/>
                <w:color w:val="auto"/>
              </w:rPr>
              <w:t>Olivier Danos, Ph.D.</w:t>
            </w:r>
          </w:p>
        </w:tc>
        <w:tc>
          <w:tcPr>
            <w:tcW w:w="138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3/27/2017</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71,500</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20.35</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3"/>
              </w:rPr>
              <w:t>3/27/2027</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1/3/2018</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41,250</w:t>
            </w:r>
          </w:p>
        </w:tc>
        <w:tc>
          <w:tcPr>
            <w:tcW w:w="16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35.80</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1/3/2028</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1/3/2019</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47,000</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1"/>
              </w:rPr>
              <w:t>1,000</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40.82</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1/3/2029</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1/2/2020</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35,000</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13,000</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38.99</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1/2/2030</w:t>
            </w:r>
          </w:p>
        </w:tc>
        <w:tc>
          <w:tcPr>
            <w:tcW w:w="160" w:type="dxa"/>
            <w:vAlign w:val="bottom"/>
            <w:shd w:val="clear" w:color="auto" w:fill="DEEAF6"/>
          </w:tcPr>
          <w:p>
            <w:pPr>
              <w:spacing w:after="0"/>
              <w:rPr>
                <w:sz w:val="15"/>
                <w:szCs w:val="15"/>
                <w:color w:val="auto"/>
              </w:rPr>
            </w:pPr>
          </w:p>
        </w:tc>
        <w:tc>
          <w:tcPr>
            <w:tcW w:w="126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1/4/2021</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3"/>
              </w:rPr>
              <w:t>25,156</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27,344</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44.97</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1/4/2031</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96"/>
              </w:rPr>
              <w:t>8,700</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197,316</w:t>
            </w:r>
          </w:p>
        </w:tc>
        <w:tc>
          <w:tcPr>
            <w:tcW w:w="0" w:type="dxa"/>
            <w:vAlign w:val="bottom"/>
          </w:tcPr>
          <w:p>
            <w:pPr>
              <w:spacing w:after="0"/>
              <w:rPr>
                <w:sz w:val="1"/>
                <w:szCs w:val="1"/>
                <w:color w:val="auto"/>
              </w:rPr>
            </w:pPr>
          </w:p>
        </w:tc>
      </w:tr>
      <w:tr>
        <w:trPr>
          <w:trHeight w:val="175"/>
        </w:trPr>
        <w:tc>
          <w:tcPr>
            <w:tcW w:w="1540" w:type="dxa"/>
            <w:vAlign w:val="bottom"/>
            <w:shd w:val="clear" w:color="auto" w:fill="DEEAF6"/>
          </w:tcPr>
          <w:p>
            <w:pPr>
              <w:spacing w:after="0"/>
              <w:rPr>
                <w:sz w:val="15"/>
                <w:szCs w:val="15"/>
                <w:color w:val="auto"/>
              </w:rPr>
            </w:pPr>
          </w:p>
        </w:tc>
        <w:tc>
          <w:tcPr>
            <w:tcW w:w="160" w:type="dxa"/>
            <w:vAlign w:val="bottom"/>
            <w:shd w:val="clear" w:color="auto" w:fill="DEEAF6"/>
          </w:tcPr>
          <w:p>
            <w:pPr>
              <w:spacing w:after="0"/>
              <w:rPr>
                <w:sz w:val="15"/>
                <w:szCs w:val="15"/>
                <w:color w:val="auto"/>
              </w:rPr>
            </w:pPr>
          </w:p>
        </w:tc>
        <w:tc>
          <w:tcPr>
            <w:tcW w:w="122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1"/>
              </w:rPr>
              <w:t>1/3/2022</w:t>
            </w:r>
          </w:p>
        </w:tc>
        <w:tc>
          <w:tcPr>
            <w:tcW w:w="160" w:type="dxa"/>
            <w:vAlign w:val="bottom"/>
            <w:shd w:val="clear" w:color="auto" w:fill="DEEAF6"/>
          </w:tcPr>
          <w:p>
            <w:pPr>
              <w:spacing w:after="0"/>
              <w:rPr>
                <w:sz w:val="15"/>
                <w:szCs w:val="15"/>
                <w:color w:val="auto"/>
              </w:rPr>
            </w:pPr>
          </w:p>
        </w:tc>
        <w:tc>
          <w:tcPr>
            <w:tcW w:w="1200" w:type="dxa"/>
            <w:vAlign w:val="bottom"/>
            <w:shd w:val="clear" w:color="auto" w:fill="DEEAF6"/>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DEEAF6"/>
          </w:tcPr>
          <w:p>
            <w:pPr>
              <w:spacing w:after="0"/>
              <w:rPr>
                <w:sz w:val="15"/>
                <w:szCs w:val="15"/>
                <w:color w:val="auto"/>
              </w:rPr>
            </w:pPr>
          </w:p>
        </w:tc>
        <w:tc>
          <w:tcPr>
            <w:tcW w:w="1360" w:type="dxa"/>
            <w:vAlign w:val="bottom"/>
            <w:gridSpan w:val="2"/>
            <w:shd w:val="clear" w:color="auto" w:fill="DEEAF6"/>
          </w:tcPr>
          <w:p>
            <w:pPr>
              <w:jc w:val="center"/>
              <w:ind w:left="88"/>
              <w:spacing w:after="0"/>
              <w:rPr>
                <w:sz w:val="20"/>
                <w:szCs w:val="20"/>
                <w:color w:val="auto"/>
              </w:rPr>
            </w:pPr>
            <w:r>
              <w:rPr>
                <w:rFonts w:ascii="Arial" w:cs="Arial" w:eastAsia="Arial" w:hAnsi="Arial"/>
                <w:sz w:val="14"/>
                <w:szCs w:val="14"/>
                <w:color w:val="auto"/>
                <w:w w:val="93"/>
              </w:rPr>
              <w:t>51,100</w:t>
            </w:r>
          </w:p>
        </w:tc>
        <w:tc>
          <w:tcPr>
            <w:tcW w:w="14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1"/>
              </w:rPr>
              <w:t>34.31</w:t>
            </w:r>
          </w:p>
        </w:tc>
        <w:tc>
          <w:tcPr>
            <w:tcW w:w="1320" w:type="dxa"/>
            <w:vAlign w:val="bottom"/>
            <w:shd w:val="clear" w:color="auto" w:fill="DEEAF6"/>
          </w:tcPr>
          <w:p>
            <w:pPr>
              <w:jc w:val="center"/>
              <w:ind w:left="68"/>
              <w:spacing w:after="0"/>
              <w:rPr>
                <w:sz w:val="20"/>
                <w:szCs w:val="20"/>
                <w:color w:val="auto"/>
              </w:rPr>
            </w:pPr>
            <w:r>
              <w:rPr>
                <w:rFonts w:ascii="Arial" w:cs="Arial" w:eastAsia="Arial" w:hAnsi="Arial"/>
                <w:sz w:val="14"/>
                <w:szCs w:val="14"/>
                <w:color w:val="auto"/>
                <w:w w:val="91"/>
              </w:rPr>
              <w:t>1/3/2032</w:t>
            </w:r>
          </w:p>
        </w:tc>
        <w:tc>
          <w:tcPr>
            <w:tcW w:w="1420" w:type="dxa"/>
            <w:vAlign w:val="bottom"/>
            <w:gridSpan w:val="2"/>
            <w:shd w:val="clear" w:color="auto" w:fill="DEEAF6"/>
          </w:tcPr>
          <w:p>
            <w:pPr>
              <w:jc w:val="center"/>
              <w:ind w:left="48"/>
              <w:spacing w:after="0"/>
              <w:rPr>
                <w:sz w:val="20"/>
                <w:szCs w:val="20"/>
                <w:color w:val="auto"/>
              </w:rPr>
            </w:pPr>
            <w:r>
              <w:rPr>
                <w:rFonts w:ascii="Arial" w:cs="Arial" w:eastAsia="Arial" w:hAnsi="Arial"/>
                <w:sz w:val="14"/>
                <w:szCs w:val="14"/>
                <w:color w:val="auto"/>
                <w:w w:val="88"/>
              </w:rPr>
              <w:t>10,700</w:t>
            </w:r>
          </w:p>
        </w:tc>
        <w:tc>
          <w:tcPr>
            <w:tcW w:w="1300" w:type="dxa"/>
            <w:vAlign w:val="bottom"/>
            <w:shd w:val="clear" w:color="auto" w:fill="DEEAF6"/>
          </w:tcPr>
          <w:p>
            <w:pPr>
              <w:jc w:val="center"/>
              <w:ind w:left="48"/>
              <w:spacing w:after="0"/>
              <w:rPr>
                <w:sz w:val="20"/>
                <w:szCs w:val="20"/>
                <w:color w:val="auto"/>
              </w:rPr>
            </w:pPr>
            <w:r>
              <w:rPr>
                <w:rFonts w:ascii="Arial" w:cs="Arial" w:eastAsia="Arial" w:hAnsi="Arial"/>
                <w:sz w:val="14"/>
                <w:szCs w:val="14"/>
                <w:color w:val="auto"/>
                <w:w w:val="90"/>
              </w:rPr>
              <w:t>242,676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ind w:left="760" w:right="100" w:hanging="752"/>
        <w:spacing w:after="0" w:line="255"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otherwise noted, each option vests over a four-year period, with 25% of the shares underlying the option vesting after 12 months from the date of grant and the balance vesting in equal monthly installments over the 36 months thereafter, provided that the optionee provides continuous service to the Company.</w:t>
      </w:r>
    </w:p>
    <w:p>
      <w:pPr>
        <w:spacing w:after="0" w:line="2" w:lineRule="exact"/>
        <w:rPr>
          <w:rFonts w:ascii="Arial" w:cs="Arial" w:eastAsia="Arial" w:hAnsi="Arial"/>
          <w:sz w:val="18"/>
          <w:szCs w:val="18"/>
          <w:color w:val="auto"/>
        </w:rPr>
      </w:pPr>
    </w:p>
    <w:p>
      <w:pPr>
        <w:ind w:left="760" w:right="440" w:hanging="752"/>
        <w:spacing w:after="0" w:line="250"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otherwise noted, each RSU vests over a four-year period, with 25% of the shares underlying the RSU vesting on each of the first, second, third and fourth anniversaries of the first day of the month in which the RSU was granted, provided that the recipient provides continuous service to the Company.</w:t>
      </w:r>
    </w:p>
    <w:p>
      <w:pPr>
        <w:spacing w:after="0" w:line="1" w:lineRule="exact"/>
        <w:rPr>
          <w:rFonts w:ascii="Arial" w:cs="Arial" w:eastAsia="Arial" w:hAnsi="Arial"/>
          <w:sz w:val="18"/>
          <w:szCs w:val="18"/>
          <w:color w:val="auto"/>
        </w:rPr>
      </w:pPr>
    </w:p>
    <w:p>
      <w:pPr>
        <w:ind w:left="760" w:hanging="752"/>
        <w:spacing w:after="0" w:line="250"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represent the market value, based on the last reported closing price of the Company’s common stock as of December 31, 2022 ($22.68), as reported by Nasdaq, of shares underlying restricted stock units held as of December 31, 2022.</w:t>
      </w:r>
    </w:p>
    <w:p>
      <w:pPr>
        <w:ind w:left="760" w:hanging="752"/>
        <w:spacing w:after="0" w:line="281"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option vested with respect to 120,394 shares on the vesting commencement date. The option vested with respect to 88,524 shares on the one-year anniversary of the vesting commencement date and vested with respect to an additional 7,377 shares following each month of service following such date. The continued vesting of the option with respect to 233,710 shares subject to the option (the “Mills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Mills Contingent Shares as of the vesting commencement date. The option vested with respect to 25% of the remaining Mills Contingent Shares on the one-year anniversary of the vesting commencement date and the remaining Mills Contingent Shares vested in 36 equal monthly installments thereafter.</w:t>
      </w:r>
    </w:p>
    <w:p>
      <w:pPr>
        <w:spacing w:after="0" w:line="4" w:lineRule="exact"/>
        <w:rPr>
          <w:rFonts w:ascii="Arial" w:cs="Arial" w:eastAsia="Arial" w:hAnsi="Arial"/>
          <w:sz w:val="16"/>
          <w:szCs w:val="16"/>
          <w:color w:val="auto"/>
        </w:rPr>
      </w:pPr>
    </w:p>
    <w:p>
      <w:pPr>
        <w:ind w:left="760" w:right="100" w:hanging="752"/>
        <w:spacing w:after="0" w:line="255"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option vested with respect to 72,235 shares on the vesting commencement date. The option vested with respect to 53,112 shares on the one-year anniversary of the vesting commencement date and vested with respect to an additional 4,426 shares following each month of service following such date. The continued vesting of the option with respect to 140,217 shares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760" w:right="40"/>
        <w:spacing w:after="0" w:line="291" w:lineRule="auto"/>
        <w:rPr>
          <w:sz w:val="20"/>
          <w:szCs w:val="20"/>
          <w:color w:val="auto"/>
        </w:rPr>
      </w:pPr>
      <w:r>
        <w:rPr>
          <w:rFonts w:ascii="Arial" w:cs="Arial" w:eastAsia="Arial" w:hAnsi="Arial"/>
          <w:sz w:val="16"/>
          <w:szCs w:val="16"/>
          <w:color w:val="auto"/>
        </w:rPr>
        <w:t>subject to the option (the “Vasista Contingent Shares”) was conditioned on our completion of a Qualified Financing, which was satisfied upon the consummation of our Series C Preferred Stock financing in January 2015. As such, effective as of the closing of our Series C Preferred Stock financing, the option vested with respect to 25% of the Vasista Contingent Shares as of the vesting commencement date. The option vested with respect to 25% of the remaining Vasista Contingent Shares on the one-year anniversary of the vesting commencement date and the remaining Vasista Contingent Shares vested in 36 equal monthly installments thereafter. The option vested with respect to 59,533 shares on December 31, 2015 which would have otherwise vested between January 2018 and September 2018 upon achievement of two business goals and a determination by our Compensation Committee that two additional business goals were deemed to be achieved as of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Option Exercises and Stock Vested</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table shows the number of shares acquired upon option exercise and vesting of stock awards for each NEO during the year ended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6"/>
                <w:szCs w:val="16"/>
                <w:color w:val="auto"/>
              </w:rPr>
            </w:pPr>
          </w:p>
        </w:tc>
        <w:tc>
          <w:tcPr>
            <w:tcW w:w="26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Value Realized on</w:t>
            </w:r>
          </w:p>
        </w:tc>
        <w:tc>
          <w:tcPr>
            <w:tcW w:w="140" w:type="dxa"/>
            <w:vAlign w:val="bottom"/>
          </w:tcPr>
          <w:p>
            <w:pPr>
              <w:spacing w:after="0"/>
              <w:rPr>
                <w:sz w:val="11"/>
                <w:szCs w:val="11"/>
                <w:color w:val="auto"/>
              </w:rPr>
            </w:pPr>
          </w:p>
        </w:tc>
        <w:tc>
          <w:tcPr>
            <w:tcW w:w="132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53"/>
        </w:trPr>
        <w:tc>
          <w:tcPr>
            <w:tcW w:w="5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 on</w:t>
            </w:r>
          </w:p>
        </w:tc>
        <w:tc>
          <w:tcPr>
            <w:tcW w:w="132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2"/>
              </w:rPr>
              <w:t>Exercise</w:t>
            </w:r>
            <w:r>
              <w:rPr>
                <w:rFonts w:ascii="Arial" w:cs="Arial" w:eastAsia="Arial" w:hAnsi="Arial"/>
                <w:sz w:val="17"/>
                <w:szCs w:val="17"/>
                <w:b w:val="1"/>
                <w:bCs w:val="1"/>
                <w:color w:val="auto"/>
                <w:w w:val="92"/>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Acquired on</w:t>
            </w:r>
          </w:p>
        </w:tc>
        <w:tc>
          <w:tcPr>
            <w:tcW w:w="132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2"/>
              </w:rPr>
              <w:t>Vesting</w:t>
            </w:r>
            <w:r>
              <w:rPr>
                <w:rFonts w:ascii="Arial" w:cs="Arial" w:eastAsia="Arial" w:hAnsi="Arial"/>
                <w:sz w:val="17"/>
                <w:szCs w:val="17"/>
                <w:b w:val="1"/>
                <w:bCs w:val="1"/>
                <w:color w:val="auto"/>
                <w:w w:val="92"/>
                <w:vertAlign w:val="superscript"/>
              </w:rPr>
              <w:t>(2)</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6"/>
              </w:rPr>
              <w:t>Vesting</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58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132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EEAF6"/>
          </w:tcPr>
          <w:p>
            <w:pPr>
              <w:jc w:val="center"/>
              <w:spacing w:after="0"/>
              <w:rPr>
                <w:sz w:val="20"/>
                <w:szCs w:val="20"/>
                <w:color w:val="auto"/>
              </w:rPr>
            </w:pPr>
            <w:r>
              <w:rPr>
                <w:rFonts w:ascii="Arial" w:cs="Arial" w:eastAsia="Arial" w:hAnsi="Arial"/>
                <w:sz w:val="18"/>
                <w:szCs w:val="18"/>
                <w:color w:val="auto"/>
                <w:w w:val="87"/>
              </w:rPr>
              <w:t>10,246</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335,044</w:t>
            </w: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1320" w:type="dxa"/>
            <w:vAlign w:val="bottom"/>
          </w:tcPr>
          <w:p>
            <w:pPr>
              <w:jc w:val="center"/>
              <w:ind w:right="38"/>
              <w:spacing w:after="0"/>
              <w:rPr>
                <w:sz w:val="20"/>
                <w:szCs w:val="20"/>
                <w:color w:val="auto"/>
              </w:rPr>
            </w:pPr>
            <w:r>
              <w:rPr>
                <w:rFonts w:ascii="Arial" w:cs="Arial" w:eastAsia="Arial" w:hAnsi="Arial"/>
                <w:sz w:val="18"/>
                <w:szCs w:val="18"/>
                <w:color w:val="auto"/>
                <w:w w:val="87"/>
              </w:rPr>
              <w:t>29,900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734,344</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3,100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101,370</w:t>
            </w:r>
          </w:p>
        </w:tc>
        <w:tc>
          <w:tcPr>
            <w:tcW w:w="0" w:type="dxa"/>
            <w:vAlign w:val="bottom"/>
          </w:tcPr>
          <w:p>
            <w:pPr>
              <w:spacing w:after="0"/>
              <w:rPr>
                <w:sz w:val="1"/>
                <w:szCs w:val="1"/>
                <w:color w:val="auto"/>
              </w:rPr>
            </w:pPr>
          </w:p>
        </w:tc>
      </w:tr>
      <w:tr>
        <w:trPr>
          <w:trHeight w:val="249"/>
        </w:trPr>
        <w:tc>
          <w:tcPr>
            <w:tcW w:w="58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132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EEAF6"/>
          </w:tcPr>
          <w:p>
            <w:pPr>
              <w:jc w:val="center"/>
              <w:spacing w:after="0"/>
              <w:rPr>
                <w:sz w:val="20"/>
                <w:szCs w:val="20"/>
                <w:color w:val="auto"/>
              </w:rPr>
            </w:pPr>
            <w:r>
              <w:rPr>
                <w:rFonts w:ascii="Arial" w:cs="Arial" w:eastAsia="Arial" w:hAnsi="Arial"/>
                <w:sz w:val="18"/>
                <w:szCs w:val="18"/>
                <w:color w:val="auto"/>
                <w:w w:val="88"/>
              </w:rPr>
              <w:t>3,450</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112,815</w:t>
            </w: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1320" w:type="dxa"/>
            <w:vAlign w:val="bottom"/>
          </w:tcPr>
          <w:p>
            <w:pPr>
              <w:jc w:val="center"/>
              <w:ind w:right="58"/>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2,750</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89,925</w:t>
            </w:r>
          </w:p>
        </w:tc>
        <w:tc>
          <w:tcPr>
            <w:tcW w:w="0" w:type="dxa"/>
            <w:vAlign w:val="bottom"/>
          </w:tcPr>
          <w:p>
            <w:pPr>
              <w:spacing w:after="0"/>
              <w:rPr>
                <w:sz w:val="1"/>
                <w:szCs w:val="1"/>
                <w:color w:val="auto"/>
              </w:rPr>
            </w:pPr>
          </w:p>
        </w:tc>
      </w:tr>
      <w:tr>
        <w:trPr>
          <w:trHeight w:val="249"/>
        </w:trPr>
        <w:tc>
          <w:tcPr>
            <w:tcW w:w="582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132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EEAF6"/>
          </w:tcPr>
          <w:p>
            <w:pPr>
              <w:jc w:val="center"/>
              <w:spacing w:after="0"/>
              <w:rPr>
                <w:sz w:val="20"/>
                <w:szCs w:val="20"/>
                <w:color w:val="auto"/>
              </w:rPr>
            </w:pPr>
            <w:r>
              <w:rPr>
                <w:rFonts w:ascii="Arial" w:cs="Arial" w:eastAsia="Arial" w:hAnsi="Arial"/>
                <w:sz w:val="18"/>
                <w:szCs w:val="18"/>
                <w:color w:val="auto"/>
                <w:w w:val="88"/>
              </w:rPr>
              <w:t>2,900</w:t>
            </w:r>
          </w:p>
        </w:tc>
        <w:tc>
          <w:tcPr>
            <w:tcW w:w="132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94,830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ind w:left="760" w:right="380" w:hanging="752"/>
        <w:spacing w:after="0" w:line="255"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is based on the fair market value of the Company’s common stock on the date of exercise minus the exercise price. The amounts set forth do not necessarily represent proceeds actually received by the NEO. The NEO will not realize the estimated value of these awards until the underlying shares are sold.</w:t>
      </w:r>
    </w:p>
    <w:p>
      <w:pPr>
        <w:spacing w:after="0" w:line="2" w:lineRule="exact"/>
        <w:rPr>
          <w:rFonts w:ascii="Arial" w:cs="Arial" w:eastAsia="Arial" w:hAnsi="Arial"/>
          <w:sz w:val="18"/>
          <w:szCs w:val="18"/>
          <w:color w:val="auto"/>
        </w:rPr>
      </w:pPr>
    </w:p>
    <w:p>
      <w:pPr>
        <w:ind w:left="760" w:right="160" w:hanging="752"/>
        <w:spacing w:after="0" w:line="255"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is based on the fair market value of the Company's common stock on the vesting date. The amounts set forth do not necessarily represent proceeds actually received by the NEO. The NEO will not realize the estimated value of these awards until the underlying shares are sold.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Potential Payments upon Termination or Change in Control</w:t>
      </w:r>
    </w:p>
    <w:p>
      <w:pPr>
        <w:spacing w:after="0" w:line="229"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We have entered into employment agreements with each of our NEOs. Pursuant to each employment agreement, if we terminate the employment of the respective NEO without cause or if such NEO voluntarily resigns for good reason, as described in the respective agreement, then the NEO will be eligible to receive, contingent on timely executing and not revoking a general release of all claims the NEO may have against us and on the NEO returning all of our property in the NEO’s possession, continued payment of base salary in equal monthly installments for (i) 12 months for Mr. Mills and (ii) nine months for our NEOs other than Mr. Mills. In addition, if the NEO elects to continue its health insurance coverage under the Consolidated Omnibus Budget Reconciliation Act (“COBRA”), we will pay such terminated NEO's monthly COBRA premiums for the same respective period of time. If a terminated NEO obtains employment during the salary continuation period, then we will cease to be obligated to make any further payments to the terminated NEO.</w:t>
      </w:r>
    </w:p>
    <w:p>
      <w:pPr>
        <w:spacing w:after="0" w:line="166"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If we terminate the employment of an NEO without cause or if such NEO voluntarily resigns for good reason immediately prior to or during the 18 months following a change in control, as such term is defined in our 2015 Equity Incentive Plan, then the NEO will be eligible to receive, contingent on the NEO timely executing and not revoking a general release of all claims the NEO may have against us and on the NEO returning all of our property in the NEO’s possession, continued payment of base salary and (i) 1.5 times the target annual cash incentive for Mr. Mills and (ii) the target annual cash incentive for our NEOs other than Mr. Mills, in equal monthly installments for (a) 18 months for Mr. Mills and (b) 12 months for our NEOs other than Mr. Mills. In addition, we will pay the NEO a lump sum equal to the applicable COBRA premiums for the same respective period of time. All outstanding unvested options that were outstanding as of the date of a change in control will vest if we or our successor terminates the employment of an NEO without cause or if such officer voluntarily resigns for good reason during the remaining vesting period.</w:t>
      </w:r>
    </w:p>
    <w:p>
      <w:pPr>
        <w:spacing w:after="0" w:line="178" w:lineRule="exact"/>
        <w:rPr>
          <w:sz w:val="20"/>
          <w:szCs w:val="20"/>
          <w:color w:val="auto"/>
        </w:rPr>
      </w:pPr>
    </w:p>
    <w:p>
      <w:pPr>
        <w:ind w:right="100" w:firstLine="749"/>
        <w:spacing w:after="0" w:line="285" w:lineRule="auto"/>
        <w:rPr>
          <w:sz w:val="20"/>
          <w:szCs w:val="20"/>
          <w:color w:val="auto"/>
        </w:rPr>
      </w:pPr>
      <w:r>
        <w:rPr>
          <w:rFonts w:ascii="Arial" w:cs="Arial" w:eastAsia="Arial" w:hAnsi="Arial"/>
          <w:sz w:val="16"/>
          <w:szCs w:val="16"/>
          <w:color w:val="auto"/>
        </w:rPr>
        <w:t>For purposes of the employment agreements, the term “cause” generally includes: (i) the conviction of, or the entering a plea of guilty or no contest to or for, any felony or any crime involving moral turpitude; (ii) the commission of a material breach of any of the covenants, terms and provisions of the respective employment agreement or the proprietary information and inventions agreement entered into as a condition of employment; (iii) the commission of an act of fraud, embezzlement, misappropriation, willful misconduct or breach of fiduciary duty against the Company or other similar conduct materially harmful or potentially materially harmful to the Company’s best interest, as determined by the Board in its reasonable sole discretion;</w:t>
      </w:r>
    </w:p>
    <w:p>
      <w:pPr>
        <w:spacing w:after="0" w:line="2" w:lineRule="exact"/>
        <w:rPr>
          <w:sz w:val="20"/>
          <w:szCs w:val="20"/>
          <w:color w:val="auto"/>
        </w:rPr>
      </w:pPr>
    </w:p>
    <w:p>
      <w:pPr>
        <w:ind w:right="40" w:firstLine="8"/>
        <w:spacing w:after="0" w:line="260" w:lineRule="auto"/>
        <w:tabs>
          <w:tab w:leader="none" w:pos="3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to perform assigned duties or responsibilities (other than a failure resulting from disability); or (v) the violation of any federal or state law or regulation applicable to the Company’s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firstLine="749"/>
        <w:spacing w:after="0" w:line="275" w:lineRule="auto"/>
        <w:rPr>
          <w:sz w:val="20"/>
          <w:szCs w:val="20"/>
          <w:color w:val="auto"/>
        </w:rPr>
      </w:pPr>
      <w:r>
        <w:rPr>
          <w:rFonts w:ascii="Arial" w:cs="Arial" w:eastAsia="Arial" w:hAnsi="Arial"/>
          <w:sz w:val="17"/>
          <w:szCs w:val="17"/>
          <w:color w:val="auto"/>
        </w:rPr>
        <w:t>For purposes of the employment agreements, the term “good reason” generally includes: (i) a significant reduction in duties or responsibilities, or removal from the position contemplated by the agreement; (ii) a significant reduction (30% or more) in base salary as in effect immediately prior to such reduction; or (iii) a significant reduction in the type or level of employee benefits to which the respective individual is entitled that results in a significant reduction to the overall benefits package, as determined by the Board in its sole discretion; or (iv) relocation of the respective individual’s principal workplace by more than 35 miles from the primary office where he or she performed services prior to the relocation.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purposes of the employment agreements and as defined in our 2015 Equity Incentive Plan, the term “change in control” generally includes:</w:t>
      </w:r>
    </w:p>
    <w:p>
      <w:pPr>
        <w:spacing w:after="0" w:line="46" w:lineRule="exact"/>
        <w:rPr>
          <w:sz w:val="20"/>
          <w:szCs w:val="20"/>
          <w:color w:val="auto"/>
        </w:rPr>
      </w:pPr>
    </w:p>
    <w:p>
      <w:pPr>
        <w:ind w:right="40" w:firstLine="8"/>
        <w:spacing w:after="0" w:line="252"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becoming the beneficial owner, directly or indirectly, of securities of the Company representing more than 50% of the total voting power represented by the Company’s then-outstanding voting securities; (ii) the consummation of the sale or disposition by the Company of all or substantially all of the Company’s assets; (iii) the consummation of a merger or consolidation of the Company with or into any other entity which results in our stockholders owning 50% or less of the surviving entity’s stock or its parent’s stock; or (iv) individuals who are members of our Board (the “Incumbent Board”), including individuals who are approved or recommended by a majority of the members of the Incumbent Board, ceasing to constitute at least a majority of the members of our Board over a period of 12 months.</w:t>
      </w:r>
    </w:p>
    <w:p>
      <w:pPr>
        <w:spacing w:after="0" w:line="19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spacing w:after="0" w:line="188"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The following table summarizes the hypothetical payments that could have been incurred by the Company with respect to each of our NEOs, assuming that a qualifying termination or resignation under the applicable employment agreement had occurred on December 31, 2022 and immediately prior to, or during the 18-month period following, a change in control: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Target Annual</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COBRA</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Cash Severance</w:t>
            </w:r>
            <w:r>
              <w:rPr>
                <w:rFonts w:ascii="Arial" w:cs="Arial" w:eastAsia="Arial" w:hAnsi="Arial"/>
                <w:sz w:val="19"/>
                <w:szCs w:val="19"/>
                <w:b w:val="1"/>
                <w:bCs w:val="1"/>
                <w:color w:val="auto"/>
                <w:vertAlign w:val="superscript"/>
              </w:rPr>
              <w:t>(1)</w:t>
            </w:r>
          </w:p>
        </w:tc>
        <w:tc>
          <w:tcPr>
            <w:tcW w:w="18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Accelerated</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Total</w:t>
            </w:r>
            <w:r>
              <w:rPr>
                <w:rFonts w:ascii="Arial" w:cs="Arial" w:eastAsia="Arial" w:hAnsi="Arial"/>
                <w:sz w:val="19"/>
                <w:szCs w:val="19"/>
                <w:b w:val="1"/>
                <w:bCs w:val="1"/>
                <w:color w:val="auto"/>
                <w:w w:val="85"/>
                <w:vertAlign w:val="superscript"/>
              </w:rPr>
              <w:t>(4)</w:t>
            </w:r>
          </w:p>
        </w:tc>
        <w:tc>
          <w:tcPr>
            <w:tcW w:w="0" w:type="dxa"/>
            <w:vAlign w:val="bottom"/>
          </w:tcPr>
          <w:p>
            <w:pPr>
              <w:spacing w:after="0"/>
              <w:rPr>
                <w:sz w:val="1"/>
                <w:szCs w:val="1"/>
                <w:color w:val="auto"/>
              </w:rPr>
            </w:pPr>
          </w:p>
        </w:tc>
      </w:tr>
      <w:tr>
        <w:trPr>
          <w:trHeight w:val="153"/>
        </w:trPr>
        <w:tc>
          <w:tcPr>
            <w:tcW w:w="22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2000" w:type="dxa"/>
            <w:vAlign w:val="bottom"/>
            <w:vMerge w:val="continue"/>
          </w:tcPr>
          <w:p>
            <w:pPr>
              <w:spacing w:after="0"/>
              <w:rPr>
                <w:sz w:val="13"/>
                <w:szCs w:val="13"/>
                <w:color w:val="auto"/>
              </w:rPr>
            </w:pPr>
          </w:p>
        </w:tc>
        <w:tc>
          <w:tcPr>
            <w:tcW w:w="1860" w:type="dxa"/>
            <w:vAlign w:val="bottom"/>
          </w:tcPr>
          <w:p>
            <w:pPr>
              <w:jc w:val="center"/>
              <w:ind w:right="38"/>
              <w:spacing w:after="0" w:line="153" w:lineRule="exact"/>
              <w:rPr>
                <w:sz w:val="20"/>
                <w:szCs w:val="20"/>
                <w:color w:val="auto"/>
              </w:rPr>
            </w:pPr>
            <w:r>
              <w:rPr>
                <w:rFonts w:ascii="Arial" w:cs="Arial" w:eastAsia="Arial" w:hAnsi="Arial"/>
                <w:sz w:val="13"/>
                <w:szCs w:val="13"/>
                <w:b w:val="1"/>
                <w:bCs w:val="1"/>
                <w:color w:val="auto"/>
                <w:w w:val="96"/>
              </w:rPr>
              <w:t>Cash Incentive</w:t>
            </w:r>
            <w:r>
              <w:rPr>
                <w:rFonts w:ascii="Arial" w:cs="Arial" w:eastAsia="Arial" w:hAnsi="Arial"/>
                <w:sz w:val="17"/>
                <w:szCs w:val="17"/>
                <w:b w:val="1"/>
                <w:bCs w:val="1"/>
                <w:color w:val="auto"/>
                <w:w w:val="96"/>
                <w:vertAlign w:val="superscript"/>
              </w:rPr>
              <w:t>(2)</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Premiums</w:t>
            </w:r>
          </w:p>
        </w:tc>
        <w:tc>
          <w:tcPr>
            <w:tcW w:w="1900" w:type="dxa"/>
            <w:vAlign w:val="bottom"/>
          </w:tcPr>
          <w:p>
            <w:pPr>
              <w:jc w:val="center"/>
              <w:spacing w:after="0" w:line="153" w:lineRule="exact"/>
              <w:rPr>
                <w:sz w:val="20"/>
                <w:szCs w:val="20"/>
                <w:color w:val="auto"/>
              </w:rPr>
            </w:pPr>
            <w:r>
              <w:rPr>
                <w:rFonts w:ascii="Arial" w:cs="Arial" w:eastAsia="Arial" w:hAnsi="Arial"/>
                <w:sz w:val="13"/>
                <w:szCs w:val="13"/>
                <w:b w:val="1"/>
                <w:bCs w:val="1"/>
                <w:color w:val="auto"/>
                <w:w w:val="96"/>
              </w:rPr>
              <w:t>Stock Options</w:t>
            </w:r>
            <w:r>
              <w:rPr>
                <w:rFonts w:ascii="Arial" w:cs="Arial" w:eastAsia="Arial" w:hAnsi="Arial"/>
                <w:sz w:val="17"/>
                <w:szCs w:val="17"/>
                <w:b w:val="1"/>
                <w:bCs w:val="1"/>
                <w:color w:val="auto"/>
                <w:w w:val="96"/>
                <w:vertAlign w:val="superscript"/>
              </w:rPr>
              <w:t>(3)</w:t>
            </w: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2000" w:type="dxa"/>
            <w:vAlign w:val="bottom"/>
            <w:shd w:val="clear" w:color="auto" w:fill="DEEAF6"/>
          </w:tcPr>
          <w:p>
            <w:pPr>
              <w:jc w:val="right"/>
              <w:ind w:right="535"/>
              <w:spacing w:after="0"/>
              <w:rPr>
                <w:sz w:val="20"/>
                <w:szCs w:val="20"/>
                <w:color w:val="auto"/>
              </w:rPr>
            </w:pPr>
            <w:r>
              <w:rPr>
                <w:rFonts w:ascii="Arial" w:cs="Arial" w:eastAsia="Arial" w:hAnsi="Arial"/>
                <w:sz w:val="18"/>
                <w:szCs w:val="18"/>
                <w:color w:val="auto"/>
              </w:rPr>
              <w:t>976,139</w:t>
            </w:r>
          </w:p>
        </w:tc>
        <w:tc>
          <w:tcPr>
            <w:tcW w:w="186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2"/>
              </w:rPr>
              <w:t>585,683</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39,849</w:t>
            </w:r>
          </w:p>
        </w:tc>
        <w:tc>
          <w:tcPr>
            <w:tcW w:w="19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1,601,671</w:t>
            </w:r>
          </w:p>
        </w:tc>
        <w:tc>
          <w:tcPr>
            <w:tcW w:w="0" w:type="dxa"/>
            <w:vAlign w:val="bottom"/>
          </w:tcPr>
          <w:p>
            <w:pPr>
              <w:spacing w:after="0"/>
              <w:rPr>
                <w:sz w:val="1"/>
                <w:szCs w:val="1"/>
                <w:color w:val="auto"/>
              </w:rPr>
            </w:pPr>
          </w:p>
        </w:tc>
      </w:tr>
      <w:tr>
        <w:trPr>
          <w:trHeight w:val="237"/>
        </w:trPr>
        <w:tc>
          <w:tcPr>
            <w:tcW w:w="226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2000" w:type="dxa"/>
            <w:vAlign w:val="bottom"/>
          </w:tcPr>
          <w:p>
            <w:pPr>
              <w:jc w:val="right"/>
              <w:ind w:right="535"/>
              <w:spacing w:after="0"/>
              <w:rPr>
                <w:sz w:val="20"/>
                <w:szCs w:val="20"/>
                <w:color w:val="auto"/>
              </w:rPr>
            </w:pPr>
            <w:r>
              <w:rPr>
                <w:rFonts w:ascii="Arial" w:cs="Arial" w:eastAsia="Arial" w:hAnsi="Arial"/>
                <w:sz w:val="18"/>
                <w:szCs w:val="18"/>
                <w:color w:val="auto"/>
              </w:rPr>
              <w:t>480,787</w:t>
            </w:r>
          </w:p>
        </w:tc>
        <w:tc>
          <w:tcPr>
            <w:tcW w:w="1860" w:type="dxa"/>
            <w:vAlign w:val="bottom"/>
          </w:tcPr>
          <w:p>
            <w:pPr>
              <w:jc w:val="center"/>
              <w:ind w:right="58"/>
              <w:spacing w:after="0"/>
              <w:rPr>
                <w:sz w:val="20"/>
                <w:szCs w:val="20"/>
                <w:color w:val="auto"/>
              </w:rPr>
            </w:pPr>
            <w:r>
              <w:rPr>
                <w:rFonts w:ascii="Arial" w:cs="Arial" w:eastAsia="Arial" w:hAnsi="Arial"/>
                <w:sz w:val="18"/>
                <w:szCs w:val="18"/>
                <w:color w:val="auto"/>
                <w:w w:val="92"/>
              </w:rPr>
              <w:t>192,315</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20,100</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693,202</w:t>
            </w:r>
          </w:p>
        </w:tc>
        <w:tc>
          <w:tcPr>
            <w:tcW w:w="0" w:type="dxa"/>
            <w:vAlign w:val="bottom"/>
          </w:tcPr>
          <w:p>
            <w:pPr>
              <w:spacing w:after="0"/>
              <w:rPr>
                <w:sz w:val="1"/>
                <w:szCs w:val="1"/>
                <w:color w:val="auto"/>
              </w:rPr>
            </w:pPr>
          </w:p>
        </w:tc>
      </w:tr>
      <w:tr>
        <w:trPr>
          <w:trHeight w:val="249"/>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2000" w:type="dxa"/>
            <w:vAlign w:val="bottom"/>
            <w:shd w:val="clear" w:color="auto" w:fill="DEEAF6"/>
          </w:tcPr>
          <w:p>
            <w:pPr>
              <w:jc w:val="right"/>
              <w:ind w:right="535"/>
              <w:spacing w:after="0"/>
              <w:rPr>
                <w:sz w:val="20"/>
                <w:szCs w:val="20"/>
                <w:color w:val="auto"/>
              </w:rPr>
            </w:pPr>
            <w:r>
              <w:rPr>
                <w:rFonts w:ascii="Arial" w:cs="Arial" w:eastAsia="Arial" w:hAnsi="Arial"/>
                <w:sz w:val="18"/>
                <w:szCs w:val="18"/>
                <w:color w:val="auto"/>
              </w:rPr>
              <w:t>474,933</w:t>
            </w:r>
          </w:p>
        </w:tc>
        <w:tc>
          <w:tcPr>
            <w:tcW w:w="186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2"/>
              </w:rPr>
              <w:t>189,973</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26,566</w:t>
            </w:r>
          </w:p>
        </w:tc>
        <w:tc>
          <w:tcPr>
            <w:tcW w:w="19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691,472</w:t>
            </w:r>
          </w:p>
        </w:tc>
        <w:tc>
          <w:tcPr>
            <w:tcW w:w="0" w:type="dxa"/>
            <w:vAlign w:val="bottom"/>
          </w:tcPr>
          <w:p>
            <w:pPr>
              <w:spacing w:after="0"/>
              <w:rPr>
                <w:sz w:val="1"/>
                <w:szCs w:val="1"/>
                <w:color w:val="auto"/>
              </w:rPr>
            </w:pPr>
          </w:p>
        </w:tc>
      </w:tr>
      <w:tr>
        <w:trPr>
          <w:trHeight w:val="237"/>
        </w:trPr>
        <w:tc>
          <w:tcPr>
            <w:tcW w:w="226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2000" w:type="dxa"/>
            <w:vAlign w:val="bottom"/>
          </w:tcPr>
          <w:p>
            <w:pPr>
              <w:jc w:val="right"/>
              <w:ind w:right="535"/>
              <w:spacing w:after="0"/>
              <w:rPr>
                <w:sz w:val="20"/>
                <w:szCs w:val="20"/>
                <w:color w:val="auto"/>
              </w:rPr>
            </w:pPr>
            <w:r>
              <w:rPr>
                <w:rFonts w:ascii="Arial" w:cs="Arial" w:eastAsia="Arial" w:hAnsi="Arial"/>
                <w:sz w:val="18"/>
                <w:szCs w:val="18"/>
                <w:color w:val="auto"/>
              </w:rPr>
              <w:t>478,996</w:t>
            </w:r>
          </w:p>
        </w:tc>
        <w:tc>
          <w:tcPr>
            <w:tcW w:w="1860" w:type="dxa"/>
            <w:vAlign w:val="bottom"/>
          </w:tcPr>
          <w:p>
            <w:pPr>
              <w:jc w:val="center"/>
              <w:ind w:right="58"/>
              <w:spacing w:after="0"/>
              <w:rPr>
                <w:sz w:val="20"/>
                <w:szCs w:val="20"/>
                <w:color w:val="auto"/>
              </w:rPr>
            </w:pPr>
            <w:r>
              <w:rPr>
                <w:rFonts w:ascii="Arial" w:cs="Arial" w:eastAsia="Arial" w:hAnsi="Arial"/>
                <w:sz w:val="18"/>
                <w:szCs w:val="18"/>
                <w:color w:val="auto"/>
                <w:w w:val="92"/>
              </w:rPr>
              <w:t>191,598</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670,594</w:t>
            </w:r>
          </w:p>
        </w:tc>
        <w:tc>
          <w:tcPr>
            <w:tcW w:w="0" w:type="dxa"/>
            <w:vAlign w:val="bottom"/>
          </w:tcPr>
          <w:p>
            <w:pPr>
              <w:spacing w:after="0"/>
              <w:rPr>
                <w:sz w:val="1"/>
                <w:szCs w:val="1"/>
                <w:color w:val="auto"/>
              </w:rPr>
            </w:pPr>
          </w:p>
        </w:tc>
      </w:tr>
      <w:tr>
        <w:trPr>
          <w:trHeight w:val="249"/>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2000" w:type="dxa"/>
            <w:vAlign w:val="bottom"/>
            <w:shd w:val="clear" w:color="auto" w:fill="DEEAF6"/>
          </w:tcPr>
          <w:p>
            <w:pPr>
              <w:jc w:val="right"/>
              <w:ind w:right="535"/>
              <w:spacing w:after="0"/>
              <w:rPr>
                <w:sz w:val="20"/>
                <w:szCs w:val="20"/>
                <w:color w:val="auto"/>
              </w:rPr>
            </w:pPr>
            <w:r>
              <w:rPr>
                <w:rFonts w:ascii="Arial" w:cs="Arial" w:eastAsia="Arial" w:hAnsi="Arial"/>
                <w:sz w:val="18"/>
                <w:szCs w:val="18"/>
                <w:color w:val="auto"/>
              </w:rPr>
              <w:t>482,940</w:t>
            </w:r>
          </w:p>
        </w:tc>
        <w:tc>
          <w:tcPr>
            <w:tcW w:w="1860" w:type="dxa"/>
            <w:vAlign w:val="bottom"/>
            <w:shd w:val="clear" w:color="auto" w:fill="DEEAF6"/>
          </w:tcPr>
          <w:p>
            <w:pPr>
              <w:jc w:val="center"/>
              <w:ind w:right="58"/>
              <w:spacing w:after="0"/>
              <w:rPr>
                <w:sz w:val="20"/>
                <w:szCs w:val="20"/>
                <w:color w:val="auto"/>
              </w:rPr>
            </w:pPr>
            <w:r>
              <w:rPr>
                <w:rFonts w:ascii="Arial" w:cs="Arial" w:eastAsia="Arial" w:hAnsi="Arial"/>
                <w:sz w:val="18"/>
                <w:szCs w:val="18"/>
                <w:color w:val="auto"/>
                <w:w w:val="92"/>
              </w:rPr>
              <w:t>193,176</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26,566</w:t>
            </w:r>
          </w:p>
        </w:tc>
        <w:tc>
          <w:tcPr>
            <w:tcW w:w="19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702,682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5"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represent continued payment of 2022 base salary for (i) 18 months for Mr. Mills and (ii) 12 months for our NEOs other than Mr. Mills.</w:t>
      </w:r>
    </w:p>
    <w:p>
      <w:pPr>
        <w:spacing w:after="0" w:line="46" w:lineRule="exact"/>
        <w:rPr>
          <w:rFonts w:ascii="Arial" w:cs="Arial" w:eastAsia="Arial" w:hAnsi="Arial"/>
          <w:sz w:val="16"/>
          <w:szCs w:val="16"/>
          <w:color w:val="auto"/>
        </w:rPr>
      </w:pPr>
    </w:p>
    <w:p>
      <w:pPr>
        <w:ind w:left="760" w:right="160" w:hanging="752"/>
        <w:spacing w:after="0" w:line="250"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Mr. Mills, amount represents 1.5 times the target annual cash incentive for 2022. For our NEOs other than Mr. Mills, amounts represent the target annual cash incentive for 2022.</w:t>
      </w:r>
    </w:p>
    <w:p>
      <w:pPr>
        <w:ind w:left="760" w:right="180" w:hanging="752"/>
        <w:spacing w:after="0" w:line="265"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Amounts represent the acceleration of all unvested stock options outstanding as of December 31, 2022 and are equal to the number of unvested stock option shares which are in-the-money as of December 31, 2022 multiplied by the difference between the $22.68 closing price of our common stock on December 30, 2022, as reported by Nasdaq, and the exercise price of the stock options.</w:t>
      </w:r>
    </w:p>
    <w:p>
      <w:pPr>
        <w:ind w:left="760" w:right="40" w:hanging="752"/>
        <w:spacing w:after="0" w:line="255"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do not include any amount attributable to the acceleration of unvested RSUs outstanding as of December 31, 2022, as the RSUs are not subject to mandatory accelerated vesting in the event of a change in control. RSUs outstanding as of December 31, 2022 are reported in the Outstanding Equity Awards at 2022 Fiscal Year-End table.</w:t>
      </w:r>
    </w:p>
    <w:p>
      <w:pPr>
        <w:spacing w:after="0" w:line="190"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The following table summarizes the hypothetical payments that could have been incurred by the Company with respect to each of our NEOs, assuming that a qualifying termination or resignation under the applicable employment agreement had occurred without the potential effects involving a change in control: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Target Annual</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COBRA</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2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w w:val="87"/>
              </w:rPr>
              <w:t>Cash Severance</w:t>
            </w:r>
            <w:r>
              <w:rPr>
                <w:rFonts w:ascii="Arial" w:cs="Arial" w:eastAsia="Arial" w:hAnsi="Arial"/>
                <w:sz w:val="19"/>
                <w:szCs w:val="19"/>
                <w:b w:val="1"/>
                <w:bCs w:val="1"/>
                <w:color w:val="auto"/>
                <w:w w:val="87"/>
                <w:vertAlign w:val="superscript"/>
              </w:rPr>
              <w:t>(1)</w:t>
            </w:r>
          </w:p>
        </w:tc>
        <w:tc>
          <w:tcPr>
            <w:tcW w:w="18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Accelerated</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2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w:t>
            </w:r>
          </w:p>
        </w:tc>
        <w:tc>
          <w:tcPr>
            <w:tcW w:w="2020" w:type="dxa"/>
            <w:vAlign w:val="bottom"/>
            <w:vMerge w:val="continue"/>
          </w:tcPr>
          <w:p>
            <w:pPr>
              <w:spacing w:after="0"/>
              <w:rPr>
                <w:sz w:val="12"/>
                <w:szCs w:val="12"/>
                <w:color w:val="auto"/>
              </w:rPr>
            </w:pPr>
          </w:p>
        </w:tc>
        <w:tc>
          <w:tcPr>
            <w:tcW w:w="18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Cash Incentive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Premiums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ind w:left="135"/>
              <w:spacing w:after="0"/>
              <w:rPr>
                <w:sz w:val="20"/>
                <w:szCs w:val="20"/>
                <w:color w:val="auto"/>
              </w:rPr>
            </w:pPr>
            <w:r>
              <w:rPr>
                <w:rFonts w:ascii="Arial" w:cs="Arial" w:eastAsia="Arial" w:hAnsi="Arial"/>
                <w:sz w:val="14"/>
                <w:szCs w:val="14"/>
                <w:b w:val="1"/>
                <w:bCs w:val="1"/>
                <w:color w:val="auto"/>
                <w:w w:val="93"/>
              </w:rPr>
              <w:t>($)</w:t>
            </w:r>
          </w:p>
        </w:tc>
        <w:tc>
          <w:tcPr>
            <w:tcW w:w="1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Kenneth T. Mills</w:t>
            </w:r>
          </w:p>
        </w:tc>
        <w:tc>
          <w:tcPr>
            <w:tcW w:w="2020" w:type="dxa"/>
            <w:vAlign w:val="bottom"/>
            <w:shd w:val="clear" w:color="auto" w:fill="DEEAF6"/>
          </w:tcPr>
          <w:p>
            <w:pPr>
              <w:jc w:val="center"/>
              <w:ind w:left="75"/>
              <w:spacing w:after="0"/>
              <w:rPr>
                <w:sz w:val="20"/>
                <w:szCs w:val="20"/>
                <w:color w:val="auto"/>
              </w:rPr>
            </w:pPr>
            <w:r>
              <w:rPr>
                <w:rFonts w:ascii="Arial" w:cs="Arial" w:eastAsia="Arial" w:hAnsi="Arial"/>
                <w:sz w:val="18"/>
                <w:szCs w:val="18"/>
                <w:color w:val="auto"/>
                <w:w w:val="89"/>
              </w:rPr>
              <w:t>650,759</w:t>
            </w:r>
          </w:p>
        </w:tc>
        <w:tc>
          <w:tcPr>
            <w:tcW w:w="1860" w:type="dxa"/>
            <w:vAlign w:val="bottom"/>
            <w:shd w:val="clear" w:color="auto" w:fill="DEEAF6"/>
          </w:tcPr>
          <w:p>
            <w:pPr>
              <w:jc w:val="center"/>
              <w:ind w:right="76"/>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26,566</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677,325</w:t>
            </w:r>
          </w:p>
        </w:tc>
        <w:tc>
          <w:tcPr>
            <w:tcW w:w="0" w:type="dxa"/>
            <w:vAlign w:val="bottom"/>
          </w:tcPr>
          <w:p>
            <w:pPr>
              <w:spacing w:after="0"/>
              <w:rPr>
                <w:sz w:val="1"/>
                <w:szCs w:val="1"/>
                <w:color w:val="auto"/>
              </w:rPr>
            </w:pPr>
          </w:p>
        </w:tc>
      </w:tr>
      <w:tr>
        <w:trPr>
          <w:trHeight w:val="237"/>
        </w:trPr>
        <w:tc>
          <w:tcPr>
            <w:tcW w:w="2260" w:type="dxa"/>
            <w:vAlign w:val="bottom"/>
          </w:tcPr>
          <w:p>
            <w:pPr>
              <w:ind w:left="120"/>
              <w:spacing w:after="0"/>
              <w:rPr>
                <w:sz w:val="20"/>
                <w:szCs w:val="20"/>
                <w:color w:val="auto"/>
              </w:rPr>
            </w:pPr>
            <w:r>
              <w:rPr>
                <w:rFonts w:ascii="Arial" w:cs="Arial" w:eastAsia="Arial" w:hAnsi="Arial"/>
                <w:sz w:val="18"/>
                <w:szCs w:val="18"/>
                <w:color w:val="auto"/>
              </w:rPr>
              <w:t>Vit Vasista</w:t>
            </w:r>
          </w:p>
        </w:tc>
        <w:tc>
          <w:tcPr>
            <w:tcW w:w="2020" w:type="dxa"/>
            <w:vAlign w:val="bottom"/>
          </w:tcPr>
          <w:p>
            <w:pPr>
              <w:jc w:val="center"/>
              <w:ind w:left="75"/>
              <w:spacing w:after="0"/>
              <w:rPr>
                <w:sz w:val="20"/>
                <w:szCs w:val="20"/>
                <w:color w:val="auto"/>
              </w:rPr>
            </w:pPr>
            <w:r>
              <w:rPr>
                <w:rFonts w:ascii="Arial" w:cs="Arial" w:eastAsia="Arial" w:hAnsi="Arial"/>
                <w:sz w:val="18"/>
                <w:szCs w:val="18"/>
                <w:color w:val="auto"/>
                <w:w w:val="89"/>
              </w:rPr>
              <w:t>360,590</w:t>
            </w:r>
          </w:p>
        </w:tc>
        <w:tc>
          <w:tcPr>
            <w:tcW w:w="1860" w:type="dxa"/>
            <w:vAlign w:val="bottom"/>
          </w:tcPr>
          <w:p>
            <w:pPr>
              <w:jc w:val="center"/>
              <w:ind w:right="76"/>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15,075</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375,665</w:t>
            </w:r>
          </w:p>
        </w:tc>
        <w:tc>
          <w:tcPr>
            <w:tcW w:w="0" w:type="dxa"/>
            <w:vAlign w:val="bottom"/>
          </w:tcPr>
          <w:p>
            <w:pPr>
              <w:spacing w:after="0"/>
              <w:rPr>
                <w:sz w:val="1"/>
                <w:szCs w:val="1"/>
                <w:color w:val="auto"/>
              </w:rPr>
            </w:pPr>
          </w:p>
        </w:tc>
      </w:tr>
      <w:tr>
        <w:trPr>
          <w:trHeight w:val="249"/>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Curran Simpson</w:t>
            </w:r>
          </w:p>
        </w:tc>
        <w:tc>
          <w:tcPr>
            <w:tcW w:w="2020" w:type="dxa"/>
            <w:vAlign w:val="bottom"/>
            <w:shd w:val="clear" w:color="auto" w:fill="DEEAF6"/>
          </w:tcPr>
          <w:p>
            <w:pPr>
              <w:jc w:val="center"/>
              <w:ind w:left="75"/>
              <w:spacing w:after="0"/>
              <w:rPr>
                <w:sz w:val="20"/>
                <w:szCs w:val="20"/>
                <w:color w:val="auto"/>
              </w:rPr>
            </w:pPr>
            <w:r>
              <w:rPr>
                <w:rFonts w:ascii="Arial" w:cs="Arial" w:eastAsia="Arial" w:hAnsi="Arial"/>
                <w:sz w:val="18"/>
                <w:szCs w:val="18"/>
                <w:color w:val="auto"/>
                <w:w w:val="89"/>
              </w:rPr>
              <w:t>356,200</w:t>
            </w:r>
          </w:p>
        </w:tc>
        <w:tc>
          <w:tcPr>
            <w:tcW w:w="1860" w:type="dxa"/>
            <w:vAlign w:val="bottom"/>
            <w:shd w:val="clear" w:color="auto" w:fill="DEEAF6"/>
          </w:tcPr>
          <w:p>
            <w:pPr>
              <w:jc w:val="center"/>
              <w:ind w:right="76"/>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19,925</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376,125</w:t>
            </w:r>
          </w:p>
        </w:tc>
        <w:tc>
          <w:tcPr>
            <w:tcW w:w="0" w:type="dxa"/>
            <w:vAlign w:val="bottom"/>
          </w:tcPr>
          <w:p>
            <w:pPr>
              <w:spacing w:after="0"/>
              <w:rPr>
                <w:sz w:val="1"/>
                <w:szCs w:val="1"/>
                <w:color w:val="auto"/>
              </w:rPr>
            </w:pPr>
          </w:p>
        </w:tc>
      </w:tr>
      <w:tr>
        <w:trPr>
          <w:trHeight w:val="237"/>
        </w:trPr>
        <w:tc>
          <w:tcPr>
            <w:tcW w:w="2260" w:type="dxa"/>
            <w:vAlign w:val="bottom"/>
          </w:tcPr>
          <w:p>
            <w:pPr>
              <w:ind w:left="120"/>
              <w:spacing w:after="0"/>
              <w:rPr>
                <w:sz w:val="20"/>
                <w:szCs w:val="20"/>
                <w:color w:val="auto"/>
              </w:rPr>
            </w:pPr>
            <w:r>
              <w:rPr>
                <w:rFonts w:ascii="Arial" w:cs="Arial" w:eastAsia="Arial" w:hAnsi="Arial"/>
                <w:sz w:val="18"/>
                <w:szCs w:val="18"/>
                <w:color w:val="auto"/>
              </w:rPr>
              <w:t>Stephen Pakola, M.D.</w:t>
            </w:r>
          </w:p>
        </w:tc>
        <w:tc>
          <w:tcPr>
            <w:tcW w:w="2020" w:type="dxa"/>
            <w:vAlign w:val="bottom"/>
          </w:tcPr>
          <w:p>
            <w:pPr>
              <w:jc w:val="center"/>
              <w:ind w:left="75"/>
              <w:spacing w:after="0"/>
              <w:rPr>
                <w:sz w:val="20"/>
                <w:szCs w:val="20"/>
                <w:color w:val="auto"/>
              </w:rPr>
            </w:pPr>
            <w:r>
              <w:rPr>
                <w:rFonts w:ascii="Arial" w:cs="Arial" w:eastAsia="Arial" w:hAnsi="Arial"/>
                <w:sz w:val="18"/>
                <w:szCs w:val="18"/>
                <w:color w:val="auto"/>
                <w:w w:val="89"/>
              </w:rPr>
              <w:t>359,247</w:t>
            </w:r>
          </w:p>
        </w:tc>
        <w:tc>
          <w:tcPr>
            <w:tcW w:w="1860" w:type="dxa"/>
            <w:vAlign w:val="bottom"/>
          </w:tcPr>
          <w:p>
            <w:pPr>
              <w:jc w:val="center"/>
              <w:ind w:right="76"/>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359,247</w:t>
            </w:r>
          </w:p>
        </w:tc>
        <w:tc>
          <w:tcPr>
            <w:tcW w:w="0" w:type="dxa"/>
            <w:vAlign w:val="bottom"/>
          </w:tcPr>
          <w:p>
            <w:pPr>
              <w:spacing w:after="0"/>
              <w:rPr>
                <w:sz w:val="1"/>
                <w:szCs w:val="1"/>
                <w:color w:val="auto"/>
              </w:rPr>
            </w:pPr>
          </w:p>
        </w:tc>
      </w:tr>
      <w:tr>
        <w:trPr>
          <w:trHeight w:val="249"/>
        </w:trPr>
        <w:tc>
          <w:tcPr>
            <w:tcW w:w="2260" w:type="dxa"/>
            <w:vAlign w:val="bottom"/>
            <w:shd w:val="clear" w:color="auto" w:fill="DEEAF6"/>
          </w:tcPr>
          <w:p>
            <w:pPr>
              <w:ind w:left="120"/>
              <w:spacing w:after="0"/>
              <w:rPr>
                <w:sz w:val="20"/>
                <w:szCs w:val="20"/>
                <w:color w:val="auto"/>
              </w:rPr>
            </w:pPr>
            <w:r>
              <w:rPr>
                <w:rFonts w:ascii="Arial" w:cs="Arial" w:eastAsia="Arial" w:hAnsi="Arial"/>
                <w:sz w:val="18"/>
                <w:szCs w:val="18"/>
                <w:color w:val="auto"/>
              </w:rPr>
              <w:t>Olivier Danos, Ph.D.</w:t>
            </w:r>
          </w:p>
        </w:tc>
        <w:tc>
          <w:tcPr>
            <w:tcW w:w="2020" w:type="dxa"/>
            <w:vAlign w:val="bottom"/>
            <w:shd w:val="clear" w:color="auto" w:fill="DEEAF6"/>
          </w:tcPr>
          <w:p>
            <w:pPr>
              <w:jc w:val="center"/>
              <w:ind w:left="75"/>
              <w:spacing w:after="0"/>
              <w:rPr>
                <w:sz w:val="20"/>
                <w:szCs w:val="20"/>
                <w:color w:val="auto"/>
              </w:rPr>
            </w:pPr>
            <w:r>
              <w:rPr>
                <w:rFonts w:ascii="Arial" w:cs="Arial" w:eastAsia="Arial" w:hAnsi="Arial"/>
                <w:sz w:val="18"/>
                <w:szCs w:val="18"/>
                <w:color w:val="auto"/>
                <w:w w:val="89"/>
              </w:rPr>
              <w:t>362,205</w:t>
            </w:r>
          </w:p>
        </w:tc>
        <w:tc>
          <w:tcPr>
            <w:tcW w:w="1860" w:type="dxa"/>
            <w:vAlign w:val="bottom"/>
            <w:shd w:val="clear" w:color="auto" w:fill="DEEAF6"/>
          </w:tcPr>
          <w:p>
            <w:pPr>
              <w:jc w:val="center"/>
              <w:ind w:right="76"/>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19,925</w:t>
            </w:r>
          </w:p>
        </w:tc>
        <w:tc>
          <w:tcPr>
            <w:tcW w:w="18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382,130</w:t>
            </w:r>
          </w:p>
        </w:tc>
        <w:tc>
          <w:tcPr>
            <w:tcW w:w="0" w:type="dxa"/>
            <w:vAlign w:val="bottom"/>
          </w:tcPr>
          <w:p>
            <w:pPr>
              <w:spacing w:after="0"/>
              <w:rPr>
                <w:sz w:val="1"/>
                <w:szCs w:val="1"/>
                <w:color w:val="auto"/>
              </w:rPr>
            </w:pPr>
          </w:p>
        </w:tc>
      </w:tr>
      <w:tr>
        <w:trPr>
          <w:trHeight w:val="648"/>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60" w:type="dxa"/>
            <w:vAlign w:val="bottom"/>
          </w:tcPr>
          <w:p>
            <w:pPr>
              <w:jc w:val="right"/>
              <w:ind w:right="336"/>
              <w:spacing w:after="0"/>
              <w:rPr>
                <w:sz w:val="20"/>
                <w:szCs w:val="20"/>
                <w:color w:val="auto"/>
              </w:rPr>
            </w:pPr>
            <w:r>
              <w:rPr>
                <w:rFonts w:ascii="Arial" w:cs="Arial" w:eastAsia="Arial" w:hAnsi="Arial"/>
                <w:sz w:val="18"/>
                <w:szCs w:val="18"/>
                <w:color w:val="auto"/>
              </w:rPr>
              <w:t>40</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760" w:right="340" w:hanging="752"/>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18516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1660" cy="8890"/>
                    </a:xfrm>
                    <a:prstGeom prst="rect">
                      <a:avLst/>
                    </a:prstGeom>
                    <a:noFill/>
                  </pic:spPr>
                </pic:pic>
              </a:graphicData>
            </a:graphic>
          </wp:anchor>
        </w:drawing>
        <w:t>Amounts represent continued payment of 2022 base salary for (i) 12 months for Mr. Mills and (ii) nine months for our NEOs other than Mr. Mills.</w:t>
      </w:r>
    </w:p>
    <w:p>
      <w:pPr>
        <w:spacing w:after="0" w:line="170"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Furthermore, in connection with their employment, each of our NEOs entered into our standard form of proprietary information and inventions agreement with us. This agreement provides that the respective NEO is generally prohibited for one year after termination of employment from, directly or indirectly, soliciting our employees or customers, or competing against us.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4"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Securities Authorized for Issuance under Equity Incentive Plans</w:t>
      </w:r>
    </w:p>
    <w:p>
      <w:pPr>
        <w:spacing w:after="0" w:line="229" w:lineRule="exact"/>
        <w:rPr>
          <w:sz w:val="20"/>
          <w:szCs w:val="20"/>
          <w:color w:val="auto"/>
        </w:rPr>
      </w:pPr>
    </w:p>
    <w:p>
      <w:pPr>
        <w:ind w:right="100" w:firstLine="749"/>
        <w:spacing w:after="0" w:line="308" w:lineRule="auto"/>
        <w:rPr>
          <w:sz w:val="20"/>
          <w:szCs w:val="20"/>
          <w:color w:val="auto"/>
        </w:rPr>
      </w:pPr>
      <w:r>
        <w:rPr>
          <w:rFonts w:ascii="Arial" w:cs="Arial" w:eastAsia="Arial" w:hAnsi="Arial"/>
          <w:sz w:val="17"/>
          <w:szCs w:val="17"/>
          <w:color w:val="auto"/>
        </w:rPr>
        <w:t>The following table provides information as of December 31, 2022 with respect to the shares of our common stock that may be issued under our existing equity compensation plans. We do not have any equity compensation plans that have not been approved by stockholders.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300" w:type="dxa"/>
            <w:vAlign w:val="bottom"/>
          </w:tcPr>
          <w:p>
            <w:pPr>
              <w:spacing w:after="0"/>
              <w:rPr>
                <w:sz w:val="12"/>
                <w:szCs w:val="12"/>
                <w:color w:val="auto"/>
              </w:rPr>
            </w:pPr>
          </w:p>
        </w:tc>
        <w:tc>
          <w:tcPr>
            <w:tcW w:w="166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1"/>
              </w:rPr>
              <w:t>Weighted-</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3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00" w:type="dxa"/>
            <w:vAlign w:val="bottom"/>
          </w:tcPr>
          <w:p>
            <w:pPr>
              <w:spacing w:after="0"/>
              <w:rPr>
                <w:sz w:val="12"/>
                <w:szCs w:val="12"/>
                <w:color w:val="auto"/>
              </w:rPr>
            </w:pPr>
          </w:p>
        </w:tc>
        <w:tc>
          <w:tcPr>
            <w:tcW w:w="16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Average</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6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w:t>
            </w:r>
          </w:p>
        </w:tc>
        <w:tc>
          <w:tcPr>
            <w:tcW w:w="300" w:type="dxa"/>
            <w:vAlign w:val="bottom"/>
          </w:tcPr>
          <w:p>
            <w:pPr>
              <w:spacing w:after="0"/>
              <w:rPr>
                <w:sz w:val="12"/>
                <w:szCs w:val="12"/>
                <w:color w:val="auto"/>
              </w:rPr>
            </w:pPr>
          </w:p>
        </w:tc>
        <w:tc>
          <w:tcPr>
            <w:tcW w:w="16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Warrants</w:t>
            </w:r>
          </w:p>
        </w:tc>
        <w:tc>
          <w:tcPr>
            <w:tcW w:w="300" w:type="dxa"/>
            <w:vAlign w:val="bottom"/>
          </w:tcPr>
          <w:p>
            <w:pPr>
              <w:spacing w:after="0"/>
              <w:rPr>
                <w:sz w:val="12"/>
                <w:szCs w:val="12"/>
                <w:color w:val="auto"/>
              </w:rPr>
            </w:pPr>
          </w:p>
        </w:tc>
        <w:tc>
          <w:tcPr>
            <w:tcW w:w="16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Options,</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2"/>
                <w:szCs w:val="12"/>
                <w:color w:val="auto"/>
              </w:rPr>
            </w:pPr>
          </w:p>
        </w:tc>
        <w:tc>
          <w:tcPr>
            <w:tcW w:w="16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Reflected</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1"/>
              </w:rPr>
              <w:t>Rights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First Column)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DEEAF6"/>
          </w:tcPr>
          <w:p>
            <w:pPr>
              <w:ind w:left="120"/>
              <w:spacing w:after="0"/>
              <w:rPr>
                <w:sz w:val="20"/>
                <w:szCs w:val="20"/>
                <w:color w:val="auto"/>
              </w:rPr>
            </w:pPr>
            <w:r>
              <w:rPr>
                <w:rFonts w:ascii="Arial" w:cs="Arial" w:eastAsia="Arial" w:hAnsi="Arial"/>
                <w:sz w:val="18"/>
                <w:szCs w:val="18"/>
                <w:color w:val="auto"/>
              </w:rPr>
              <w:t>Equity compensation plans approved</w:t>
            </w:r>
          </w:p>
        </w:tc>
        <w:tc>
          <w:tcPr>
            <w:tcW w:w="1780" w:type="dxa"/>
            <w:vAlign w:val="bottom"/>
            <w:gridSpan w:val="2"/>
            <w:shd w:val="clear" w:color="auto" w:fill="DEEAF6"/>
          </w:tcPr>
          <w:p>
            <w:pPr>
              <w:jc w:val="right"/>
              <w:ind w:right="20"/>
              <w:spacing w:after="0"/>
              <w:rPr>
                <w:sz w:val="20"/>
                <w:szCs w:val="20"/>
                <w:color w:val="auto"/>
              </w:rPr>
            </w:pPr>
            <w:r>
              <w:rPr>
                <w:rFonts w:ascii="Arial" w:cs="Arial" w:eastAsia="Arial" w:hAnsi="Arial"/>
                <w:sz w:val="12"/>
                <w:szCs w:val="12"/>
                <w:color w:val="auto"/>
              </w:rPr>
              <w:t>(1</w:t>
            </w:r>
          </w:p>
        </w:tc>
        <w:tc>
          <w:tcPr>
            <w:tcW w:w="300" w:type="dxa"/>
            <w:vAlign w:val="bottom"/>
            <w:shd w:val="clear" w:color="auto" w:fill="DEEAF6"/>
          </w:tcPr>
          <w:p>
            <w:pPr>
              <w:ind w:left="40"/>
              <w:spacing w:after="0"/>
              <w:rPr>
                <w:sz w:val="20"/>
                <w:szCs w:val="20"/>
                <w:color w:val="auto"/>
              </w:rPr>
            </w:pPr>
            <w:r>
              <w:rPr>
                <w:rFonts w:ascii="Arial" w:cs="Arial" w:eastAsia="Arial" w:hAnsi="Arial"/>
                <w:sz w:val="12"/>
                <w:szCs w:val="12"/>
                <w:color w:val="auto"/>
              </w:rPr>
              <w:t>(2</w:t>
            </w:r>
          </w:p>
        </w:tc>
        <w:tc>
          <w:tcPr>
            <w:tcW w:w="1660" w:type="dxa"/>
            <w:vAlign w:val="bottom"/>
            <w:shd w:val="clear" w:color="auto" w:fill="DEEAF6"/>
          </w:tcPr>
          <w:p>
            <w:pPr>
              <w:jc w:val="right"/>
              <w:spacing w:after="0"/>
              <w:rPr>
                <w:sz w:val="20"/>
                <w:szCs w:val="20"/>
                <w:color w:val="auto"/>
              </w:rPr>
            </w:pPr>
            <w:r>
              <w:rPr>
                <w:rFonts w:ascii="Arial" w:cs="Arial" w:eastAsia="Arial" w:hAnsi="Arial"/>
                <w:sz w:val="12"/>
                <w:szCs w:val="12"/>
                <w:color w:val="auto"/>
              </w:rPr>
              <w:t>(3</w:t>
            </w:r>
          </w:p>
        </w:tc>
        <w:tc>
          <w:tcPr>
            <w:tcW w:w="1760" w:type="dxa"/>
            <w:vAlign w:val="bottom"/>
            <w:gridSpan w:val="2"/>
            <w:shd w:val="clear" w:color="auto" w:fill="DEEAF6"/>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4"/>
        </w:trPr>
        <w:tc>
          <w:tcPr>
            <w:tcW w:w="5740" w:type="dxa"/>
            <w:vAlign w:val="bottom"/>
            <w:shd w:val="clear" w:color="auto" w:fill="DEEAF6"/>
          </w:tcPr>
          <w:p>
            <w:pPr>
              <w:ind w:left="240"/>
              <w:spacing w:after="0"/>
              <w:rPr>
                <w:sz w:val="20"/>
                <w:szCs w:val="20"/>
                <w:color w:val="auto"/>
              </w:rPr>
            </w:pPr>
            <w:r>
              <w:rPr>
                <w:rFonts w:ascii="Arial" w:cs="Arial" w:eastAsia="Arial" w:hAnsi="Arial"/>
                <w:sz w:val="18"/>
                <w:szCs w:val="18"/>
                <w:color w:val="auto"/>
              </w:rPr>
              <w:t>by security holders</w:t>
            </w:r>
          </w:p>
        </w:tc>
        <w:tc>
          <w:tcPr>
            <w:tcW w:w="1780" w:type="dxa"/>
            <w:vAlign w:val="bottom"/>
            <w:gridSpan w:val="2"/>
            <w:shd w:val="clear" w:color="auto" w:fill="DEEAF6"/>
          </w:tcPr>
          <w:p>
            <w:pPr>
              <w:jc w:val="right"/>
              <w:ind w:right="80"/>
              <w:spacing w:after="0" w:line="244" w:lineRule="exact"/>
              <w:rPr>
                <w:sz w:val="20"/>
                <w:szCs w:val="20"/>
                <w:color w:val="auto"/>
              </w:rPr>
            </w:pPr>
            <w:r>
              <w:rPr>
                <w:rFonts w:ascii="Arial" w:cs="Arial" w:eastAsia="Arial" w:hAnsi="Arial"/>
                <w:sz w:val="18"/>
                <w:szCs w:val="18"/>
                <w:color w:val="auto"/>
              </w:rPr>
              <w:t xml:space="preserve">8,280,178 </w:t>
            </w:r>
            <w:r>
              <w:rPr>
                <w:rFonts w:ascii="Arial" w:cs="Arial" w:eastAsia="Arial" w:hAnsi="Arial"/>
                <w:sz w:val="24"/>
                <w:szCs w:val="24"/>
                <w:color w:val="auto"/>
                <w:vertAlign w:val="superscript"/>
              </w:rPr>
              <w:t>)</w:t>
            </w:r>
          </w:p>
        </w:tc>
        <w:tc>
          <w:tcPr>
            <w:tcW w:w="300" w:type="dxa"/>
            <w:vAlign w:val="bottom"/>
            <w:shd w:val="clear" w:color="auto" w:fill="DEEAF6"/>
          </w:tcPr>
          <w:p>
            <w:pPr>
              <w:ind w:left="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EEAF6"/>
          </w:tcPr>
          <w:p>
            <w:pPr>
              <w:ind w:left="1000"/>
              <w:spacing w:after="0" w:line="244" w:lineRule="exact"/>
              <w:rPr>
                <w:sz w:val="20"/>
                <w:szCs w:val="20"/>
                <w:color w:val="auto"/>
              </w:rPr>
            </w:pPr>
            <w:r>
              <w:rPr>
                <w:rFonts w:ascii="Arial" w:cs="Arial" w:eastAsia="Arial" w:hAnsi="Arial"/>
                <w:sz w:val="18"/>
                <w:szCs w:val="18"/>
                <w:color w:val="auto"/>
                <w:w w:val="97"/>
              </w:rPr>
              <w:t xml:space="preserve">$34.43 </w:t>
            </w:r>
            <w:r>
              <w:rPr>
                <w:rFonts w:ascii="Arial" w:cs="Arial" w:eastAsia="Arial" w:hAnsi="Arial"/>
                <w:sz w:val="24"/>
                <w:szCs w:val="24"/>
                <w:color w:val="auto"/>
                <w:w w:val="97"/>
                <w:vertAlign w:val="superscript"/>
              </w:rPr>
              <w:t>)</w:t>
            </w:r>
          </w:p>
        </w:tc>
        <w:tc>
          <w:tcPr>
            <w:tcW w:w="1760" w:type="dxa"/>
            <w:vAlign w:val="bottom"/>
            <w:gridSpan w:val="2"/>
            <w:shd w:val="clear" w:color="auto" w:fill="DEEAF6"/>
          </w:tcPr>
          <w:p>
            <w:pPr>
              <w:jc w:val="right"/>
              <w:ind w:right="100"/>
              <w:spacing w:after="0" w:line="244" w:lineRule="exact"/>
              <w:rPr>
                <w:sz w:val="20"/>
                <w:szCs w:val="20"/>
                <w:color w:val="auto"/>
              </w:rPr>
            </w:pPr>
            <w:r>
              <w:rPr>
                <w:rFonts w:ascii="Arial" w:cs="Arial" w:eastAsia="Arial" w:hAnsi="Arial"/>
                <w:sz w:val="18"/>
                <w:szCs w:val="18"/>
                <w:color w:val="auto"/>
              </w:rPr>
              <w:t xml:space="preserve">3,918,491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5"/>
        </w:trPr>
        <w:tc>
          <w:tcPr>
            <w:tcW w:w="5740" w:type="dxa"/>
            <w:vAlign w:val="bottom"/>
          </w:tcPr>
          <w:p>
            <w:pPr>
              <w:ind w:left="120"/>
              <w:spacing w:after="0"/>
              <w:rPr>
                <w:sz w:val="20"/>
                <w:szCs w:val="20"/>
                <w:color w:val="auto"/>
              </w:rPr>
            </w:pPr>
            <w:r>
              <w:rPr>
                <w:rFonts w:ascii="Arial" w:cs="Arial" w:eastAsia="Arial" w:hAnsi="Arial"/>
                <w:sz w:val="18"/>
                <w:szCs w:val="18"/>
                <w:color w:val="auto"/>
              </w:rPr>
              <w:t>Equity compensation plans not approved</w:t>
            </w:r>
          </w:p>
        </w:tc>
        <w:tc>
          <w:tcPr>
            <w:tcW w:w="1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by security holders</w:t>
            </w:r>
          </w:p>
        </w:tc>
        <w:tc>
          <w:tcPr>
            <w:tcW w:w="17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ind w:left="1260"/>
              <w:spacing w:after="0"/>
              <w:rPr>
                <w:sz w:val="20"/>
                <w:szCs w:val="20"/>
                <w:color w:val="auto"/>
              </w:rPr>
            </w:pPr>
            <w:r>
              <w:rPr>
                <w:rFonts w:ascii="Arial" w:cs="Arial" w:eastAsia="Arial" w:hAnsi="Arial"/>
                <w:sz w:val="18"/>
                <w:szCs w:val="18"/>
                <w:color w:val="auto"/>
              </w:rPr>
              <w:t>—</w:t>
            </w:r>
          </w:p>
        </w:tc>
        <w:tc>
          <w:tcPr>
            <w:tcW w:w="1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40" w:type="dxa"/>
            <w:vAlign w:val="bottom"/>
            <w:tcBorders>
              <w:bottom w:val="single" w:sz="8" w:color="DEEAF6"/>
            </w:tcBorders>
            <w:shd w:val="clear" w:color="auto" w:fill="DEEAF6"/>
          </w:tcPr>
          <w:p>
            <w:pPr>
              <w:ind w:left="12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DEEAF6"/>
          </w:tcPr>
          <w:p>
            <w:pPr>
              <w:jc w:val="right"/>
              <w:spacing w:after="0"/>
              <w:rPr>
                <w:sz w:val="20"/>
                <w:szCs w:val="20"/>
                <w:color w:val="auto"/>
              </w:rPr>
            </w:pPr>
            <w:r>
              <w:rPr>
                <w:rFonts w:ascii="Arial" w:cs="Arial" w:eastAsia="Arial" w:hAnsi="Arial"/>
                <w:sz w:val="18"/>
                <w:szCs w:val="18"/>
                <w:color w:val="auto"/>
              </w:rPr>
              <w:t>8,280,178</w:t>
            </w:r>
          </w:p>
        </w:tc>
        <w:tc>
          <w:tcPr>
            <w:tcW w:w="140" w:type="dxa"/>
            <w:vAlign w:val="bottom"/>
            <w:tcBorders>
              <w:bottom w:val="single" w:sz="8" w:color="DEEAF6"/>
            </w:tcBorders>
            <w:shd w:val="clear" w:color="auto" w:fill="DEEAF6"/>
          </w:tcPr>
          <w:p>
            <w:pPr>
              <w:spacing w:after="0"/>
              <w:rPr>
                <w:sz w:val="24"/>
                <w:szCs w:val="24"/>
                <w:color w:val="auto"/>
              </w:rPr>
            </w:pPr>
          </w:p>
        </w:tc>
        <w:tc>
          <w:tcPr>
            <w:tcW w:w="300" w:type="dxa"/>
            <w:vAlign w:val="bottom"/>
            <w:tcBorders>
              <w:bottom w:val="single" w:sz="8" w:color="DEEAF6"/>
            </w:tcBorders>
            <w:shd w:val="clear" w:color="auto" w:fill="DEEAF6"/>
          </w:tcPr>
          <w:p>
            <w:pPr>
              <w:spacing w:after="0"/>
              <w:rPr>
                <w:sz w:val="24"/>
                <w:szCs w:val="24"/>
                <w:color w:val="auto"/>
              </w:rPr>
            </w:pPr>
          </w:p>
        </w:tc>
        <w:tc>
          <w:tcPr>
            <w:tcW w:w="1660" w:type="dxa"/>
            <w:vAlign w:val="bottom"/>
            <w:tcBorders>
              <w:bottom w:val="single" w:sz="8" w:color="DEEAF6"/>
            </w:tcBorders>
            <w:shd w:val="clear" w:color="auto" w:fill="DEEAF6"/>
          </w:tcPr>
          <w:p>
            <w:pPr>
              <w:ind w:left="1000"/>
              <w:spacing w:after="0"/>
              <w:rPr>
                <w:sz w:val="20"/>
                <w:szCs w:val="20"/>
                <w:color w:val="auto"/>
              </w:rPr>
            </w:pPr>
            <w:r>
              <w:rPr>
                <w:rFonts w:ascii="Arial" w:cs="Arial" w:eastAsia="Arial" w:hAnsi="Arial"/>
                <w:sz w:val="18"/>
                <w:szCs w:val="18"/>
                <w:color w:val="auto"/>
              </w:rPr>
              <w:t>$34.43</w:t>
            </w:r>
          </w:p>
        </w:tc>
        <w:tc>
          <w:tcPr>
            <w:tcW w:w="1620" w:type="dxa"/>
            <w:vAlign w:val="bottom"/>
            <w:tcBorders>
              <w:top w:val="single" w:sz="8" w:color="auto"/>
              <w:bottom w:val="single" w:sz="8" w:color="auto"/>
            </w:tcBorders>
            <w:shd w:val="clear" w:color="auto" w:fill="DEEAF6"/>
          </w:tcPr>
          <w:p>
            <w:pPr>
              <w:jc w:val="right"/>
              <w:spacing w:after="0"/>
              <w:rPr>
                <w:sz w:val="20"/>
                <w:szCs w:val="20"/>
                <w:color w:val="auto"/>
              </w:rPr>
            </w:pPr>
            <w:r>
              <w:rPr>
                <w:rFonts w:ascii="Arial" w:cs="Arial" w:eastAsia="Arial" w:hAnsi="Arial"/>
                <w:sz w:val="18"/>
                <w:szCs w:val="18"/>
                <w:color w:val="auto"/>
              </w:rPr>
              <w:t>3,918,491</w:t>
            </w:r>
          </w:p>
        </w:tc>
        <w:tc>
          <w:tcPr>
            <w:tcW w:w="140" w:type="dxa"/>
            <w:vAlign w:val="bottom"/>
            <w:tcBorders>
              <w:bottom w:val="single" w:sz="8" w:color="DEEAF6"/>
            </w:tcBorders>
            <w:shd w:val="clear" w:color="auto" w:fill="DEE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102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ind w:left="760" w:right="40" w:hanging="752"/>
        <w:spacing w:after="0" w:line="255"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7,667,553 shares of common stock issuable upon exercise of outstanding options under all existing equity compensation plans. Of these shares, 429,726 were subject to options then outstanding under our 2014 Stock Plan and 7,237,827 were subject to options then outstanding under our 2015 Equity Incentive Plan (the “2015 Plan”).</w:t>
      </w:r>
    </w:p>
    <w:p>
      <w:pPr>
        <w:spacing w:after="0" w:line="2" w:lineRule="exact"/>
        <w:rPr>
          <w:rFonts w:ascii="Arial" w:cs="Arial" w:eastAsia="Arial" w:hAnsi="Arial"/>
          <w:sz w:val="18"/>
          <w:szCs w:val="18"/>
          <w:color w:val="auto"/>
        </w:rPr>
      </w:pPr>
    </w:p>
    <w:p>
      <w:pPr>
        <w:ind w:left="760" w:right="300" w:hanging="752"/>
        <w:spacing w:after="0" w:line="250"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612,625 shares subject to RSUs that will entitle the holder to one share of common stock for each unit that vests upon completion of required service conditions.</w:t>
      </w:r>
    </w:p>
    <w:p>
      <w:pPr>
        <w:ind w:left="760" w:hanging="75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take into account RSUs, which have no exercise price.</w:t>
      </w:r>
    </w:p>
    <w:p>
      <w:pPr>
        <w:spacing w:after="0" w:line="9" w:lineRule="exact"/>
        <w:rPr>
          <w:rFonts w:ascii="Arial" w:cs="Arial" w:eastAsia="Arial" w:hAnsi="Arial"/>
          <w:sz w:val="18"/>
          <w:szCs w:val="18"/>
          <w:color w:val="auto"/>
        </w:rPr>
      </w:pPr>
    </w:p>
    <w:p>
      <w:pPr>
        <w:ind w:left="760" w:right="120" w:hanging="752"/>
        <w:spacing w:after="0" w:line="287"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2,796,739 shares of common stock available for issuance under the 2015 Plan and 1,121,752 shares of common stock available for issuance under our 2015 Employee Stock Purchase Plan (the “ESPP”). On the first business day of each year, (i) the number of shares reserved under the 2015 Plan is automatically increased by the lesser of 4% of the total number of shares of common stock that are outstanding on December 31 of the prior year or such lesser number as may be approved by the Board and (ii) the number of shares reserved under the ESPP is automatically increased by the lesser of 1% of the total number of shares of common stock that are outstanding on the last business day of the prior fiscal year or such lesser number as may be approved by the Board. On January 3, 2023, an additional 1,731,940 shares became available for future issuance under the 2015 Plan and no additional shares became available for issuance under the ESPP. The additional shares from the annual increases on January 3, 2023 are not included in the table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Pursuant to applicable SEC rules, we are providing the following information about the relationship of the median annual total compensation of our employees and the annual total compensation of Mr. Mills, our President and CEO.</w:t>
      </w:r>
    </w:p>
    <w:p>
      <w:pPr>
        <w:spacing w:after="0" w:line="170" w:lineRule="exact"/>
        <w:rPr>
          <w:sz w:val="20"/>
          <w:szCs w:val="20"/>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determined that the total compensation of our median employee (excluding Mr. Mills) for 2022 was $183,853.</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reported in the Summary Compensation Table above, the annual total compensation of Mr. Mills for 2022 was $5,753,713.</w:t>
      </w:r>
    </w:p>
    <w:p>
      <w:pPr>
        <w:spacing w:after="0" w:line="225"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Based on this information, in 2022, the ratio of the total compensation of Mr. Mills to the total compensation of our median employee (excluding Mr. Mills) was 31.30 to 1.</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identify our median employee and calculate this ratio, we performed the following analysis:</w:t>
      </w:r>
    </w:p>
    <w:p>
      <w:pPr>
        <w:spacing w:after="0" w:line="225" w:lineRule="exact"/>
        <w:rPr>
          <w:sz w:val="20"/>
          <w:szCs w:val="20"/>
          <w:color w:val="auto"/>
        </w:rPr>
      </w:pPr>
    </w:p>
    <w:p>
      <w:pPr>
        <w:ind w:left="1140" w:hanging="383"/>
        <w:spacing w:after="0" w:line="259"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determined that, as of December 31, 2022, our employee population, excluding Mr. Mills, consisted of approximately 394 individuals working at our Company or our consolidated subsidiary. This population consisted of our full-time, part-time and temporary employees and, as permitted by SEC rules, excluded independent contractors or similar non-employee workers during 2022. We had no non-U.S. employees in 2022.</w:t>
      </w:r>
    </w:p>
    <w:p>
      <w:pPr>
        <w:spacing w:after="0" w:line="186" w:lineRule="exact"/>
        <w:rPr>
          <w:rFonts w:ascii="Arial" w:cs="Arial" w:eastAsia="Arial" w:hAnsi="Arial"/>
          <w:sz w:val="18"/>
          <w:szCs w:val="18"/>
          <w:color w:val="auto"/>
        </w:rPr>
      </w:pPr>
    </w:p>
    <w:p>
      <w:pPr>
        <w:ind w:left="1140" w:right="20" w:hanging="383"/>
        <w:spacing w:after="0" w:line="259"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each employee’s wages for 2022. In doing so, we annualized the wages of all permanent employees who were hired in 2022 but did not work for us the entire fiscal year. We did not make any cost-of-living adjustments in identifying the median employee. We chose this as our consistently applied compensation measure because we believed it was representative of employee compensation at the Company.</w:t>
      </w:r>
    </w:p>
    <w:p>
      <w:pPr>
        <w:spacing w:after="0" w:line="186" w:lineRule="exact"/>
        <w:rPr>
          <w:rFonts w:ascii="Arial" w:cs="Arial" w:eastAsia="Arial" w:hAnsi="Arial"/>
          <w:sz w:val="18"/>
          <w:szCs w:val="18"/>
          <w:color w:val="auto"/>
        </w:rPr>
      </w:pPr>
    </w:p>
    <w:p>
      <w:pPr>
        <w:ind w:left="1140" w:right="80" w:hanging="383"/>
        <w:spacing w:after="0" w:line="263"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identifying our median employee, we calculated annual total compensation for the median employee using the same methodology we use for our named executive officers, as set forth in the Summary Compensation Table above. This process resulted in a median employee with annual total compensation of $183,853 for 2022.</w:t>
      </w:r>
    </w:p>
    <w:p>
      <w:pPr>
        <w:spacing w:after="0" w:line="184"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We believe the pay ratio reported above is a reasonable estimate based on our internal records and the methodology described above.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as reported above, as other companies have different employee populations and compensation practices and may utilize different methodologies, exclusions, estimates and assumptions in calculating their own pay ratios.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Pay Versus Performance</w:t>
      </w:r>
    </w:p>
    <w:p>
      <w:pPr>
        <w:spacing w:after="0" w:line="229" w:lineRule="exact"/>
        <w:rPr>
          <w:sz w:val="20"/>
          <w:szCs w:val="20"/>
          <w:color w:val="auto"/>
        </w:rPr>
      </w:pPr>
    </w:p>
    <w:p>
      <w:pPr>
        <w:ind w:right="200" w:firstLine="749"/>
        <w:spacing w:after="0" w:line="255" w:lineRule="auto"/>
        <w:rPr>
          <w:sz w:val="20"/>
          <w:szCs w:val="20"/>
          <w:color w:val="auto"/>
        </w:rPr>
      </w:pPr>
      <w:r>
        <w:rPr>
          <w:rFonts w:ascii="Arial" w:cs="Arial" w:eastAsia="Arial" w:hAnsi="Arial"/>
          <w:sz w:val="18"/>
          <w:szCs w:val="18"/>
          <w:color w:val="auto"/>
        </w:rPr>
        <w:t>The following table provides the total compensation, as reported in the Summary Compensation Table ("SCT"), and the compensation actually paid ("CAP") to our Principal Executive Officer ("PEO") and, on an average basis, our other NEOs ("non-PEO NEOs") for each of the years specified, alongside our total shareholder return ("TSR"), the TSR of our peers, our net income (loss) and a Company-selected financial performance measure of ending cash, cash equivalents and marketable securities. The Company selected ending cash, cash equivalents and marketable securities as the most important financial performance measure used to link compensation to performance in 2022 given its direct influence on our ability to maintain financial strength to achieve corporate objectives.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of Initial Fixed $100 Investment</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Based On:</w:t>
            </w: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Summary</w:t>
            </w:r>
          </w:p>
        </w:tc>
        <w:tc>
          <w:tcPr>
            <w:tcW w:w="13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 Summary</w:t>
            </w:r>
          </w:p>
        </w:tc>
        <w:tc>
          <w:tcPr>
            <w:tcW w:w="1400" w:type="dxa"/>
            <w:vAlign w:val="bottom"/>
          </w:tcPr>
          <w:p>
            <w:pPr>
              <w:jc w:val="center"/>
              <w:ind w:right="25"/>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Total Shareholder</w:t>
            </w:r>
          </w:p>
        </w:tc>
        <w:tc>
          <w:tcPr>
            <w:tcW w:w="13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Ending Cash, Cash</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380" w:type="dxa"/>
            <w:vAlign w:val="bottom"/>
            <w:vMerge w:val="continue"/>
          </w:tcPr>
          <w:p>
            <w:pPr>
              <w:spacing w:after="0"/>
              <w:rPr>
                <w:sz w:val="12"/>
                <w:szCs w:val="12"/>
                <w:color w:val="auto"/>
              </w:rPr>
            </w:pPr>
          </w:p>
        </w:tc>
        <w:tc>
          <w:tcPr>
            <w:tcW w:w="14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6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2"/>
              </w:rPr>
              <w:t>Total Shareholder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Return of the</w:t>
            </w:r>
          </w:p>
        </w:tc>
        <w:tc>
          <w:tcPr>
            <w:tcW w:w="1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Compensation</w:t>
            </w:r>
          </w:p>
        </w:tc>
        <w:tc>
          <w:tcPr>
            <w:tcW w:w="1320" w:type="dxa"/>
            <w:vAlign w:val="bottom"/>
            <w:vMerge w:val="continue"/>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tcPr>
          <w:p>
            <w:pPr>
              <w:jc w:val="center"/>
              <w:ind w:right="5"/>
              <w:spacing w:after="0" w:line="129" w:lineRule="exact"/>
              <w:rPr>
                <w:sz w:val="20"/>
                <w:szCs w:val="20"/>
                <w:color w:val="auto"/>
              </w:rPr>
            </w:pPr>
            <w:r>
              <w:rPr>
                <w:rFonts w:ascii="Arial" w:cs="Arial" w:eastAsia="Arial" w:hAnsi="Arial"/>
                <w:sz w:val="14"/>
                <w:szCs w:val="14"/>
                <w:b w:val="1"/>
                <w:bCs w:val="1"/>
                <w:color w:val="auto"/>
                <w:w w:val="95"/>
              </w:rPr>
              <w:t>Actually Paid to</w:t>
            </w:r>
          </w:p>
        </w:tc>
        <w:tc>
          <w:tcPr>
            <w:tcW w:w="1260" w:type="dxa"/>
            <w:vAlign w:val="bottom"/>
            <w:vMerge w:val="continue"/>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Nasdaq</w:t>
            </w:r>
          </w:p>
        </w:tc>
        <w:tc>
          <w:tcPr>
            <w:tcW w:w="136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Equivalents and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Table Total for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Actually Paid to</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Table Total for</w:t>
            </w:r>
          </w:p>
        </w:tc>
        <w:tc>
          <w:tcPr>
            <w:tcW w:w="1400" w:type="dxa"/>
            <w:vAlign w:val="bottom"/>
          </w:tcPr>
          <w:p>
            <w:pPr>
              <w:jc w:val="center"/>
              <w:spacing w:after="0" w:line="169" w:lineRule="exact"/>
              <w:rPr>
                <w:sz w:val="20"/>
                <w:szCs w:val="20"/>
                <w:color w:val="auto"/>
              </w:rPr>
            </w:pPr>
            <w:r>
              <w:rPr>
                <w:rFonts w:ascii="Arial" w:cs="Arial" w:eastAsia="Arial" w:hAnsi="Arial"/>
                <w:sz w:val="14"/>
                <w:szCs w:val="14"/>
                <w:b w:val="1"/>
                <w:bCs w:val="1"/>
                <w:color w:val="auto"/>
                <w:w w:val="94"/>
              </w:rPr>
              <w:t>Non-PEO NEOs</w:t>
            </w:r>
            <w:r>
              <w:rPr>
                <w:rFonts w:ascii="Arial" w:cs="Arial" w:eastAsia="Arial" w:hAnsi="Arial"/>
                <w:sz w:val="19"/>
                <w:szCs w:val="19"/>
                <w:b w:val="1"/>
                <w:bCs w:val="1"/>
                <w:color w:val="auto"/>
                <w:w w:val="94"/>
                <w:vertAlign w:val="superscript"/>
              </w:rPr>
              <w:t>(2)</w:t>
            </w:r>
          </w:p>
        </w:tc>
        <w:tc>
          <w:tcPr>
            <w:tcW w:w="126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Return of the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Biotechnology</w:t>
            </w:r>
          </w:p>
        </w:tc>
        <w:tc>
          <w:tcPr>
            <w:tcW w:w="1360" w:type="dxa"/>
            <w:vAlign w:val="bottom"/>
          </w:tcPr>
          <w:p>
            <w:pPr>
              <w:jc w:val="center"/>
              <w:ind w:left="3"/>
              <w:spacing w:after="0"/>
              <w:rPr>
                <w:sz w:val="20"/>
                <w:szCs w:val="20"/>
                <w:color w:val="auto"/>
              </w:rPr>
            </w:pPr>
            <w:r>
              <w:rPr>
                <w:rFonts w:ascii="Arial" w:cs="Arial" w:eastAsia="Arial" w:hAnsi="Arial"/>
                <w:sz w:val="14"/>
                <w:szCs w:val="14"/>
                <w:b w:val="1"/>
                <w:bCs w:val="1"/>
                <w:color w:val="auto"/>
                <w:w w:val="92"/>
              </w:rPr>
              <w:t>Net Income (Loss)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12"/>
        </w:trPr>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PEO</w:t>
            </w:r>
            <w:r>
              <w:rPr>
                <w:rFonts w:ascii="Arial" w:cs="Arial" w:eastAsia="Arial" w:hAnsi="Arial"/>
                <w:sz w:val="13"/>
                <w:szCs w:val="13"/>
                <w:b w:val="1"/>
                <w:bCs w:val="1"/>
                <w:color w:val="auto"/>
                <w:vertAlign w:val="superscript"/>
              </w:rPr>
              <w:t>(1)</w:t>
            </w:r>
          </w:p>
        </w:tc>
        <w:tc>
          <w:tcPr>
            <w:tcW w:w="13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vertAlign w:val="subscript"/>
              </w:rPr>
              <w:t>PEO</w:t>
            </w:r>
            <w:r>
              <w:rPr>
                <w:rFonts w:ascii="Arial" w:cs="Arial" w:eastAsia="Arial" w:hAnsi="Arial"/>
                <w:sz w:val="7"/>
                <w:szCs w:val="7"/>
                <w:b w:val="1"/>
                <w:bCs w:val="1"/>
                <w:color w:val="auto"/>
              </w:rPr>
              <w:t>(2)(3)</w:t>
            </w:r>
          </w:p>
        </w:tc>
        <w:tc>
          <w:tcPr>
            <w:tcW w:w="13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Non-PEO NEOs</w:t>
            </w:r>
            <w:r>
              <w:rPr>
                <w:rFonts w:ascii="Arial" w:cs="Arial" w:eastAsia="Arial" w:hAnsi="Arial"/>
                <w:sz w:val="13"/>
                <w:szCs w:val="13"/>
                <w:b w:val="1"/>
                <w:bCs w:val="1"/>
                <w:color w:val="auto"/>
                <w:vertAlign w:val="superscript"/>
              </w:rPr>
              <w:t>(4)</w:t>
            </w:r>
          </w:p>
        </w:tc>
        <w:tc>
          <w:tcPr>
            <w:tcW w:w="140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7"/>
              </w:rPr>
              <w:t>(5)</w:t>
            </w:r>
          </w:p>
        </w:tc>
        <w:tc>
          <w:tcPr>
            <w:tcW w:w="12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Company</w:t>
            </w:r>
            <w:r>
              <w:rPr>
                <w:rFonts w:ascii="Arial" w:cs="Arial" w:eastAsia="Arial" w:hAnsi="Arial"/>
                <w:sz w:val="13"/>
                <w:szCs w:val="13"/>
                <w:b w:val="1"/>
                <w:bCs w:val="1"/>
                <w:color w:val="auto"/>
                <w:vertAlign w:val="superscript"/>
              </w:rPr>
              <w:t>(6)</w:t>
            </w:r>
          </w:p>
        </w:tc>
        <w:tc>
          <w:tcPr>
            <w:tcW w:w="1260" w:type="dxa"/>
            <w:vAlign w:val="bottom"/>
          </w:tcPr>
          <w:p>
            <w:pPr>
              <w:jc w:val="center"/>
              <w:ind w:left="4"/>
              <w:spacing w:after="0" w:line="113"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3"/>
                <w:szCs w:val="13"/>
                <w:b w:val="1"/>
                <w:bCs w:val="1"/>
                <w:color w:val="auto"/>
                <w:vertAlign w:val="superscript"/>
              </w:rPr>
              <w:t>(7)</w:t>
            </w:r>
          </w:p>
        </w:tc>
        <w:tc>
          <w:tcPr>
            <w:tcW w:w="1360" w:type="dxa"/>
            <w:vAlign w:val="bottom"/>
          </w:tcPr>
          <w:p>
            <w:pPr>
              <w:jc w:val="center"/>
              <w:ind w:left="3"/>
              <w:spacing w:after="0" w:line="113" w:lineRule="exact"/>
              <w:rPr>
                <w:sz w:val="20"/>
                <w:szCs w:val="20"/>
                <w:color w:val="auto"/>
              </w:rPr>
            </w:pPr>
            <w:r>
              <w:rPr>
                <w:rFonts w:ascii="Arial" w:cs="Arial" w:eastAsia="Arial" w:hAnsi="Arial"/>
                <w:sz w:val="10"/>
                <w:szCs w:val="10"/>
                <w:b w:val="1"/>
                <w:bCs w:val="1"/>
                <w:color w:val="auto"/>
                <w:w w:val="97"/>
              </w:rPr>
              <w:t>(8)</w:t>
            </w:r>
          </w:p>
        </w:tc>
        <w:tc>
          <w:tcPr>
            <w:tcW w:w="1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Securities</w:t>
            </w:r>
            <w:r>
              <w:rPr>
                <w:rFonts w:ascii="Arial" w:cs="Arial" w:eastAsia="Arial" w:hAnsi="Arial"/>
                <w:sz w:val="13"/>
                <w:szCs w:val="13"/>
                <w:b w:val="1"/>
                <w:bCs w:val="1"/>
                <w:color w:val="auto"/>
                <w:vertAlign w:val="superscript"/>
              </w:rPr>
              <w:t>(8)</w:t>
            </w:r>
          </w:p>
        </w:tc>
        <w:tc>
          <w:tcPr>
            <w:tcW w:w="0" w:type="dxa"/>
            <w:vAlign w:val="bottom"/>
          </w:tcPr>
          <w:p>
            <w:pPr>
              <w:spacing w:after="0"/>
              <w:rPr>
                <w:sz w:val="1"/>
                <w:szCs w:val="1"/>
                <w:color w:val="auto"/>
              </w:rPr>
            </w:pPr>
          </w:p>
        </w:tc>
      </w:tr>
      <w:tr>
        <w:trPr>
          <w:trHeight w:val="185"/>
        </w:trPr>
        <w:tc>
          <w:tcPr>
            <w:tcW w:w="6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1"/>
              </w:rPr>
              <w:t>($ thousands)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thousands)</w:t>
            </w:r>
          </w:p>
        </w:tc>
        <w:tc>
          <w:tcPr>
            <w:tcW w:w="0" w:type="dxa"/>
            <w:vAlign w:val="bottom"/>
          </w:tcPr>
          <w:p>
            <w:pPr>
              <w:spacing w:after="0"/>
              <w:rPr>
                <w:sz w:val="1"/>
                <w:szCs w:val="1"/>
                <w:color w:val="auto"/>
              </w:rPr>
            </w:pPr>
          </w:p>
        </w:tc>
      </w:tr>
      <w:tr>
        <w:trPr>
          <w:trHeight w:val="237"/>
        </w:trPr>
        <w:tc>
          <w:tcPr>
            <w:tcW w:w="6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5,753,713</w:t>
            </w:r>
          </w:p>
        </w:tc>
        <w:tc>
          <w:tcPr>
            <w:tcW w:w="1320" w:type="dxa"/>
            <w:vAlign w:val="bottom"/>
            <w:shd w:val="clear" w:color="auto" w:fill="DEEAF6"/>
          </w:tcPr>
          <w:p>
            <w:pPr>
              <w:jc w:val="center"/>
              <w:ind w:left="6"/>
              <w:spacing w:after="0"/>
              <w:rPr>
                <w:sz w:val="20"/>
                <w:szCs w:val="20"/>
                <w:color w:val="auto"/>
              </w:rPr>
            </w:pPr>
            <w:r>
              <w:rPr>
                <w:rFonts w:ascii="Arial" w:cs="Arial" w:eastAsia="Arial" w:hAnsi="Arial"/>
                <w:sz w:val="18"/>
                <w:szCs w:val="18"/>
                <w:color w:val="auto"/>
                <w:w w:val="89"/>
              </w:rPr>
              <w:t>1,411,167</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1,988,042</w:t>
            </w:r>
          </w:p>
        </w:tc>
        <w:tc>
          <w:tcPr>
            <w:tcW w:w="14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828,152</w:t>
            </w:r>
          </w:p>
        </w:tc>
        <w:tc>
          <w:tcPr>
            <w:tcW w:w="12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3"/>
              </w:rPr>
              <w:t>55.36</w:t>
            </w:r>
          </w:p>
        </w:tc>
        <w:tc>
          <w:tcPr>
            <w:tcW w:w="1260" w:type="dxa"/>
            <w:vAlign w:val="bottom"/>
            <w:shd w:val="clear" w:color="auto" w:fill="DEEAF6"/>
          </w:tcPr>
          <w:p>
            <w:pPr>
              <w:jc w:val="center"/>
              <w:ind w:left="4"/>
              <w:spacing w:after="0"/>
              <w:rPr>
                <w:sz w:val="20"/>
                <w:szCs w:val="20"/>
                <w:color w:val="auto"/>
              </w:rPr>
            </w:pPr>
            <w:r>
              <w:rPr>
                <w:rFonts w:ascii="Arial" w:cs="Arial" w:eastAsia="Arial" w:hAnsi="Arial"/>
                <w:sz w:val="18"/>
                <w:szCs w:val="18"/>
                <w:color w:val="auto"/>
                <w:w w:val="90"/>
              </w:rPr>
              <w:t>113.65</w:t>
            </w:r>
          </w:p>
        </w:tc>
        <w:tc>
          <w:tcPr>
            <w:tcW w:w="13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(280,321)</w:t>
            </w:r>
          </w:p>
        </w:tc>
        <w:tc>
          <w:tcPr>
            <w:tcW w:w="12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565,202</w:t>
            </w:r>
          </w:p>
        </w:tc>
        <w:tc>
          <w:tcPr>
            <w:tcW w:w="0" w:type="dxa"/>
            <w:vAlign w:val="bottom"/>
          </w:tcPr>
          <w:p>
            <w:pPr>
              <w:spacing w:after="0"/>
              <w:rPr>
                <w:sz w:val="1"/>
                <w:szCs w:val="1"/>
                <w:color w:val="auto"/>
              </w:rPr>
            </w:pPr>
          </w:p>
        </w:tc>
      </w:tr>
      <w:tr>
        <w:trPr>
          <w:trHeight w:val="237"/>
        </w:trPr>
        <w:tc>
          <w:tcPr>
            <w:tcW w:w="680" w:type="dxa"/>
            <w:vAlign w:val="bottom"/>
          </w:tcPr>
          <w:p>
            <w:pPr>
              <w:ind w:left="120"/>
              <w:spacing w:after="0"/>
              <w:rPr>
                <w:sz w:val="20"/>
                <w:szCs w:val="20"/>
                <w:color w:val="auto"/>
              </w:rPr>
            </w:pPr>
            <w:r>
              <w:rPr>
                <w:rFonts w:ascii="Arial" w:cs="Arial" w:eastAsia="Arial" w:hAnsi="Arial"/>
                <w:sz w:val="18"/>
                <w:szCs w:val="18"/>
                <w:color w:val="auto"/>
              </w:rPr>
              <w:t>2021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8,622,941</w:t>
            </w:r>
          </w:p>
        </w:tc>
        <w:tc>
          <w:tcPr>
            <w:tcW w:w="1320" w:type="dxa"/>
            <w:vAlign w:val="bottom"/>
          </w:tcPr>
          <w:p>
            <w:pPr>
              <w:jc w:val="center"/>
              <w:ind w:left="6"/>
              <w:spacing w:after="0"/>
              <w:rPr>
                <w:sz w:val="20"/>
                <w:szCs w:val="20"/>
                <w:color w:val="auto"/>
              </w:rPr>
            </w:pPr>
            <w:r>
              <w:rPr>
                <w:rFonts w:ascii="Arial" w:cs="Arial" w:eastAsia="Arial" w:hAnsi="Arial"/>
                <w:sz w:val="18"/>
                <w:szCs w:val="18"/>
                <w:color w:val="auto"/>
                <w:w w:val="89"/>
              </w:rPr>
              <w:t>2,648,117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3,207,479</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1,658,040</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79.81</w:t>
            </w:r>
          </w:p>
        </w:tc>
        <w:tc>
          <w:tcPr>
            <w:tcW w:w="1260" w:type="dxa"/>
            <w:vAlign w:val="bottom"/>
          </w:tcPr>
          <w:p>
            <w:pPr>
              <w:jc w:val="center"/>
              <w:ind w:left="4"/>
              <w:spacing w:after="0"/>
              <w:rPr>
                <w:sz w:val="20"/>
                <w:szCs w:val="20"/>
                <w:color w:val="auto"/>
              </w:rPr>
            </w:pPr>
            <w:r>
              <w:rPr>
                <w:rFonts w:ascii="Arial" w:cs="Arial" w:eastAsia="Arial" w:hAnsi="Arial"/>
                <w:sz w:val="18"/>
                <w:szCs w:val="18"/>
                <w:color w:val="auto"/>
                <w:w w:val="90"/>
              </w:rPr>
              <w:t>126.45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127,840</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849,346</w:t>
            </w:r>
          </w:p>
        </w:tc>
        <w:tc>
          <w:tcPr>
            <w:tcW w:w="0" w:type="dxa"/>
            <w:vAlign w:val="bottom"/>
          </w:tcPr>
          <w:p>
            <w:pPr>
              <w:spacing w:after="0"/>
              <w:rPr>
                <w:sz w:val="1"/>
                <w:szCs w:val="1"/>
                <w:color w:val="auto"/>
              </w:rPr>
            </w:pPr>
          </w:p>
        </w:tc>
      </w:tr>
      <w:tr>
        <w:trPr>
          <w:trHeight w:val="249"/>
        </w:trPr>
        <w:tc>
          <w:tcPr>
            <w:tcW w:w="680" w:type="dxa"/>
            <w:vAlign w:val="bottom"/>
            <w:shd w:val="clear" w:color="auto" w:fill="DEEAF6"/>
          </w:tcPr>
          <w:p>
            <w:pPr>
              <w:ind w:left="120"/>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7,644,087</w:t>
            </w:r>
          </w:p>
        </w:tc>
        <w:tc>
          <w:tcPr>
            <w:tcW w:w="1320" w:type="dxa"/>
            <w:vAlign w:val="bottom"/>
            <w:shd w:val="clear" w:color="auto" w:fill="DEEAF6"/>
          </w:tcPr>
          <w:p>
            <w:pPr>
              <w:jc w:val="center"/>
              <w:ind w:left="6"/>
              <w:spacing w:after="0"/>
              <w:rPr>
                <w:sz w:val="20"/>
                <w:szCs w:val="20"/>
                <w:color w:val="auto"/>
              </w:rPr>
            </w:pPr>
            <w:r>
              <w:rPr>
                <w:rFonts w:ascii="Arial" w:cs="Arial" w:eastAsia="Arial" w:hAnsi="Arial"/>
                <w:sz w:val="18"/>
                <w:szCs w:val="18"/>
                <w:color w:val="auto"/>
                <w:w w:val="89"/>
              </w:rPr>
              <w:t>7,578,195</w:t>
            </w:r>
          </w:p>
        </w:tc>
        <w:tc>
          <w:tcPr>
            <w:tcW w:w="13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1,820,462</w:t>
            </w:r>
          </w:p>
        </w:tc>
        <w:tc>
          <w:tcPr>
            <w:tcW w:w="140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1,729,261</w:t>
            </w:r>
          </w:p>
        </w:tc>
        <w:tc>
          <w:tcPr>
            <w:tcW w:w="12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110.72</w:t>
            </w:r>
          </w:p>
        </w:tc>
        <w:tc>
          <w:tcPr>
            <w:tcW w:w="1260" w:type="dxa"/>
            <w:vAlign w:val="bottom"/>
            <w:shd w:val="clear" w:color="auto" w:fill="DEEAF6"/>
          </w:tcPr>
          <w:p>
            <w:pPr>
              <w:jc w:val="center"/>
              <w:ind w:left="4"/>
              <w:spacing w:after="0"/>
              <w:rPr>
                <w:sz w:val="20"/>
                <w:szCs w:val="20"/>
                <w:color w:val="auto"/>
              </w:rPr>
            </w:pPr>
            <w:r>
              <w:rPr>
                <w:rFonts w:ascii="Arial" w:cs="Arial" w:eastAsia="Arial" w:hAnsi="Arial"/>
                <w:sz w:val="18"/>
                <w:szCs w:val="18"/>
                <w:color w:val="auto"/>
                <w:w w:val="90"/>
              </w:rPr>
              <w:t>126.42</w:t>
            </w:r>
          </w:p>
        </w:tc>
        <w:tc>
          <w:tcPr>
            <w:tcW w:w="1360" w:type="dxa"/>
            <w:vAlign w:val="bottom"/>
            <w:shd w:val="clear" w:color="auto" w:fill="DEEAF6"/>
          </w:tcPr>
          <w:p>
            <w:pPr>
              <w:jc w:val="center"/>
              <w:ind w:left="3"/>
              <w:spacing w:after="0"/>
              <w:rPr>
                <w:sz w:val="20"/>
                <w:szCs w:val="20"/>
                <w:color w:val="auto"/>
              </w:rPr>
            </w:pPr>
            <w:r>
              <w:rPr>
                <w:rFonts w:ascii="Arial" w:cs="Arial" w:eastAsia="Arial" w:hAnsi="Arial"/>
                <w:sz w:val="18"/>
                <w:szCs w:val="18"/>
                <w:color w:val="auto"/>
                <w:w w:val="88"/>
              </w:rPr>
              <w:t>(111,250)</w:t>
            </w:r>
          </w:p>
        </w:tc>
        <w:tc>
          <w:tcPr>
            <w:tcW w:w="12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522,549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5" w:lineRule="exact"/>
        <w:rPr>
          <w:sz w:val="20"/>
          <w:szCs w:val="20"/>
          <w:color w:val="auto"/>
        </w:rPr>
      </w:pPr>
    </w:p>
    <w:p>
      <w:pPr>
        <w:ind w:left="760" w:hanging="75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total compensation of Kenneth T. Mills as reported in the SCT for each of the years presented.</w:t>
      </w:r>
    </w:p>
    <w:p>
      <w:pPr>
        <w:spacing w:after="0" w:line="23" w:lineRule="exact"/>
        <w:rPr>
          <w:rFonts w:ascii="Arial" w:cs="Arial" w:eastAsia="Arial" w:hAnsi="Arial"/>
          <w:sz w:val="18"/>
          <w:szCs w:val="18"/>
          <w:color w:val="auto"/>
        </w:rPr>
      </w:pPr>
    </w:p>
    <w:p>
      <w:pPr>
        <w:ind w:left="760" w:right="20" w:hanging="752"/>
        <w:spacing w:after="0" w:line="281"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CAP calculated in accordance with SEC rules. CAP includes unpaid amounts of equity compensation that may be realizable in future periods, and as such, does not fully represent the actual final amount of compensation earned or actually paid during the year. For each year presented, CAP is equal to total compensation reported in the SCT for the year, adjusted as follows: (i) less compensation reported in the SCT related to equity awards which is based on the grant date fair value of equity awards granted during the reporting year, (ii) plus the reporting year-end fair value of equity awards granted during the reporting year that were outstanding and unvested as of the end of the reporting year, (iii) plus the change in fair value from the end of the prior year to the end of the reporting year of equity awards granted in prior years that were outstanding and unvested as of the end of the reporting year, (iv) plus the change in fair value from the end of the prior year to the vesting date for equity awards granted in prior years that vested in the reporting year. None of the equity awards granted to NEOs during the reporting years presented vested in the same reporting year as the grant and there were no forfeitures of equity awards granted to NEOs during any of the reporting years presented. There were no dividends, dividend equivalents or other earnings paid on equity awards granted to NEOs during any of the reporting years presented. The fair values of equity awards used to determine CAP were calculated in accordance with FASB ASC Topic 718 using similar methodologies and assumptions as those used to calculate the grant date fair values of equity awards reported in the SCT.</w:t>
      </w:r>
    </w:p>
    <w:p>
      <w:pPr>
        <w:spacing w:after="0" w:line="7" w:lineRule="exact"/>
        <w:rPr>
          <w:rFonts w:ascii="Arial" w:cs="Arial" w:eastAsia="Arial" w:hAnsi="Arial"/>
          <w:sz w:val="16"/>
          <w:szCs w:val="16"/>
          <w:color w:val="auto"/>
        </w:rPr>
      </w:pPr>
    </w:p>
    <w:p>
      <w:pPr>
        <w:ind w:left="760" w:right="80" w:hanging="752"/>
        <w:spacing w:after="0" w:line="290"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the CAP to Kenneth T. Mills for each of the years presented using the calculations discussed in footnote 2. The following table presents a reconciliation of total compensation reported in the SCT to CAP for Kenneth T. Mills for each of the years presented.</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Reconciliation of SCT Total to CAP for Kenneth T. Mills</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8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Change in Fair Value</w:t>
            </w:r>
          </w:p>
        </w:tc>
        <w:tc>
          <w:tcPr>
            <w:tcW w:w="1740" w:type="dxa"/>
            <w:vAlign w:val="bottom"/>
            <w:tcBorders>
              <w:top w:val="single" w:sz="8" w:color="auto"/>
            </w:tcBorders>
          </w:tcPr>
          <w:p>
            <w:pPr>
              <w:jc w:val="center"/>
              <w:ind w:right="123"/>
              <w:spacing w:after="0" w:line="133" w:lineRule="exact"/>
              <w:rPr>
                <w:sz w:val="20"/>
                <w:szCs w:val="20"/>
                <w:color w:val="auto"/>
              </w:rPr>
            </w:pPr>
            <w:r>
              <w:rPr>
                <w:rFonts w:ascii="Arial" w:cs="Arial" w:eastAsia="Arial" w:hAnsi="Arial"/>
                <w:sz w:val="14"/>
                <w:szCs w:val="14"/>
                <w:b w:val="1"/>
                <w:bCs w:val="1"/>
                <w:color w:val="auto"/>
                <w:w w:val="93"/>
              </w:rPr>
              <w:t>Change in Fair Value</w:t>
            </w: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Year-end Fair Value of</w:t>
            </w:r>
          </w:p>
        </w:tc>
        <w:tc>
          <w:tcPr>
            <w:tcW w:w="1580" w:type="dxa"/>
            <w:vAlign w:val="bottom"/>
            <w:vMerge w:val="continue"/>
          </w:tcPr>
          <w:p>
            <w:pPr>
              <w:spacing w:after="0"/>
              <w:rPr>
                <w:sz w:val="12"/>
                <w:szCs w:val="12"/>
                <w:color w:val="auto"/>
              </w:rPr>
            </w:pPr>
          </w:p>
        </w:tc>
        <w:tc>
          <w:tcPr>
            <w:tcW w:w="1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from Prior Year-end to</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vMerge w:val="restart"/>
          </w:tcPr>
          <w:p>
            <w:pPr>
              <w:jc w:val="center"/>
              <w:ind w:left="61"/>
              <w:spacing w:after="0"/>
              <w:rPr>
                <w:sz w:val="20"/>
                <w:szCs w:val="20"/>
                <w:color w:val="auto"/>
              </w:rPr>
            </w:pPr>
            <w:r>
              <w:rPr>
                <w:rFonts w:ascii="Arial" w:cs="Arial" w:eastAsia="Arial" w:hAnsi="Arial"/>
                <w:sz w:val="14"/>
                <w:szCs w:val="14"/>
                <w:b w:val="1"/>
                <w:bCs w:val="1"/>
                <w:color w:val="auto"/>
                <w:w w:val="96"/>
              </w:rPr>
              <w:t>Grant Date Fair Value</w:t>
            </w:r>
          </w:p>
        </w:tc>
        <w:tc>
          <w:tcPr>
            <w:tcW w:w="15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During the Year of</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Vesting Date of Equity</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4"/>
              </w:rPr>
              <w:t>Awards Granted in</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4"/>
              </w:rPr>
              <w:t>of Awards Granted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Granted During the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 in Prior</w:t>
            </w:r>
          </w:p>
        </w:tc>
        <w:tc>
          <w:tcPr>
            <w:tcW w:w="17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6"/>
              </w:rPr>
              <w:t>Prior Years That</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3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SCT Total</w:t>
            </w:r>
          </w:p>
        </w:tc>
        <w:tc>
          <w:tcPr>
            <w:tcW w:w="172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5"/>
              </w:rPr>
              <w:t>During the Year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Outstanding and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Years Outstanding and</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1"/>
              </w:rPr>
              <w:t>Vested During the</w:t>
            </w:r>
          </w:p>
        </w:tc>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CAP</w:t>
            </w:r>
          </w:p>
        </w:tc>
        <w:tc>
          <w:tcPr>
            <w:tcW w:w="0" w:type="dxa"/>
            <w:vAlign w:val="bottom"/>
          </w:tcPr>
          <w:p>
            <w:pPr>
              <w:spacing w:after="0"/>
              <w:rPr>
                <w:sz w:val="1"/>
                <w:szCs w:val="1"/>
                <w:color w:val="auto"/>
              </w:rPr>
            </w:pPr>
          </w:p>
        </w:tc>
      </w:tr>
      <w:tr>
        <w:trPr>
          <w:trHeight w:val="148"/>
        </w:trPr>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Year</w:t>
            </w:r>
          </w:p>
        </w:tc>
        <w:tc>
          <w:tcPr>
            <w:tcW w:w="1340" w:type="dxa"/>
            <w:vAlign w:val="bottom"/>
            <w:vMerge w:val="continue"/>
          </w:tcPr>
          <w:p>
            <w:pPr>
              <w:spacing w:after="0"/>
              <w:rPr>
                <w:sz w:val="12"/>
                <w:szCs w:val="12"/>
                <w:color w:val="auto"/>
              </w:rPr>
            </w:pPr>
          </w:p>
        </w:tc>
        <w:tc>
          <w:tcPr>
            <w:tcW w:w="17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4"/>
              </w:rPr>
              <w:t>Included in SCT Total</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Unvested at Year-end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Unvested at Year-end</w:t>
            </w:r>
          </w:p>
        </w:tc>
        <w:tc>
          <w:tcPr>
            <w:tcW w:w="1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8"/>
              </w:rPr>
              <w:t>Year</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7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7"/>
        </w:trPr>
        <w:tc>
          <w:tcPr>
            <w:tcW w:w="840" w:type="dxa"/>
            <w:vAlign w:val="bottom"/>
            <w:shd w:val="clear" w:color="auto" w:fill="DEEAF6"/>
          </w:tcPr>
          <w:p>
            <w:pPr>
              <w:ind w:left="100"/>
              <w:spacing w:after="0"/>
              <w:rPr>
                <w:sz w:val="20"/>
                <w:szCs w:val="20"/>
                <w:color w:val="auto"/>
              </w:rPr>
            </w:pPr>
            <w:r>
              <w:rPr>
                <w:rFonts w:ascii="Arial" w:cs="Arial" w:eastAsia="Arial" w:hAnsi="Arial"/>
                <w:sz w:val="18"/>
                <w:szCs w:val="18"/>
                <w:color w:val="auto"/>
              </w:rPr>
              <w:t>2022</w:t>
            </w:r>
          </w:p>
        </w:tc>
        <w:tc>
          <w:tcPr>
            <w:tcW w:w="1340" w:type="dxa"/>
            <w:vAlign w:val="bottom"/>
            <w:shd w:val="clear" w:color="auto" w:fill="DEEAF6"/>
          </w:tcPr>
          <w:p>
            <w:pPr>
              <w:jc w:val="center"/>
              <w:ind w:left="17"/>
              <w:spacing w:after="0"/>
              <w:rPr>
                <w:sz w:val="20"/>
                <w:szCs w:val="20"/>
                <w:color w:val="auto"/>
              </w:rPr>
            </w:pPr>
            <w:r>
              <w:rPr>
                <w:rFonts w:ascii="Arial" w:cs="Arial" w:eastAsia="Arial" w:hAnsi="Arial"/>
                <w:sz w:val="18"/>
                <w:szCs w:val="18"/>
                <w:color w:val="auto"/>
                <w:w w:val="89"/>
              </w:rPr>
              <w:t>5,753,713</w:t>
            </w:r>
          </w:p>
        </w:tc>
        <w:tc>
          <w:tcPr>
            <w:tcW w:w="1720" w:type="dxa"/>
            <w:vAlign w:val="bottom"/>
            <w:shd w:val="clear" w:color="auto" w:fill="DEEAF6"/>
          </w:tcPr>
          <w:p>
            <w:pPr>
              <w:jc w:val="center"/>
              <w:ind w:left="121"/>
              <w:spacing w:after="0"/>
              <w:rPr>
                <w:sz w:val="20"/>
                <w:szCs w:val="20"/>
                <w:color w:val="auto"/>
              </w:rPr>
            </w:pPr>
            <w:r>
              <w:rPr>
                <w:rFonts w:ascii="Arial" w:cs="Arial" w:eastAsia="Arial" w:hAnsi="Arial"/>
                <w:sz w:val="18"/>
                <w:szCs w:val="18"/>
                <w:color w:val="auto"/>
                <w:w w:val="91"/>
              </w:rPr>
              <w:t>(4,734,006)</w:t>
            </w:r>
          </w:p>
        </w:tc>
        <w:tc>
          <w:tcPr>
            <w:tcW w:w="15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2,706,578</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1"/>
              </w:rPr>
              <w:t>(1,673,456)</w:t>
            </w:r>
          </w:p>
        </w:tc>
        <w:tc>
          <w:tcPr>
            <w:tcW w:w="1740" w:type="dxa"/>
            <w:vAlign w:val="bottom"/>
            <w:shd w:val="clear" w:color="auto" w:fill="DEEAF6"/>
          </w:tcPr>
          <w:p>
            <w:pPr>
              <w:jc w:val="center"/>
              <w:ind w:right="83"/>
              <w:spacing w:after="0"/>
              <w:rPr>
                <w:sz w:val="20"/>
                <w:szCs w:val="20"/>
                <w:color w:val="auto"/>
              </w:rPr>
            </w:pPr>
            <w:r>
              <w:rPr>
                <w:rFonts w:ascii="Arial" w:cs="Arial" w:eastAsia="Arial" w:hAnsi="Arial"/>
                <w:sz w:val="18"/>
                <w:szCs w:val="18"/>
                <w:color w:val="auto"/>
                <w:w w:val="90"/>
              </w:rPr>
              <w:t>(641,662)</w:t>
            </w:r>
          </w:p>
        </w:tc>
        <w:tc>
          <w:tcPr>
            <w:tcW w:w="1320" w:type="dxa"/>
            <w:vAlign w:val="bottom"/>
            <w:shd w:val="clear" w:color="auto" w:fill="DEEAF6"/>
          </w:tcPr>
          <w:p>
            <w:pPr>
              <w:jc w:val="center"/>
              <w:ind w:right="37"/>
              <w:spacing w:after="0"/>
              <w:rPr>
                <w:sz w:val="20"/>
                <w:szCs w:val="20"/>
                <w:color w:val="auto"/>
              </w:rPr>
            </w:pPr>
            <w:r>
              <w:rPr>
                <w:rFonts w:ascii="Arial" w:cs="Arial" w:eastAsia="Arial" w:hAnsi="Arial"/>
                <w:sz w:val="18"/>
                <w:szCs w:val="18"/>
                <w:color w:val="auto"/>
                <w:w w:val="89"/>
              </w:rPr>
              <w:t>1,411,167</w:t>
            </w:r>
          </w:p>
        </w:tc>
        <w:tc>
          <w:tcPr>
            <w:tcW w:w="0" w:type="dxa"/>
            <w:vAlign w:val="bottom"/>
          </w:tcPr>
          <w:p>
            <w:pPr>
              <w:spacing w:after="0"/>
              <w:rPr>
                <w:sz w:val="1"/>
                <w:szCs w:val="1"/>
                <w:color w:val="auto"/>
              </w:rPr>
            </w:pPr>
          </w:p>
        </w:tc>
      </w:tr>
      <w:tr>
        <w:trPr>
          <w:trHeight w:val="237"/>
        </w:trPr>
        <w:tc>
          <w:tcPr>
            <w:tcW w:w="840" w:type="dxa"/>
            <w:vAlign w:val="bottom"/>
          </w:tcPr>
          <w:p>
            <w:pPr>
              <w:ind w:left="100"/>
              <w:spacing w:after="0"/>
              <w:rPr>
                <w:sz w:val="20"/>
                <w:szCs w:val="20"/>
                <w:color w:val="auto"/>
              </w:rPr>
            </w:pPr>
            <w:r>
              <w:rPr>
                <w:rFonts w:ascii="Arial" w:cs="Arial" w:eastAsia="Arial" w:hAnsi="Arial"/>
                <w:sz w:val="18"/>
                <w:szCs w:val="18"/>
                <w:color w:val="auto"/>
              </w:rPr>
              <w:t>2021</w:t>
            </w:r>
          </w:p>
        </w:tc>
        <w:tc>
          <w:tcPr>
            <w:tcW w:w="1340" w:type="dxa"/>
            <w:vAlign w:val="bottom"/>
          </w:tcPr>
          <w:p>
            <w:pPr>
              <w:jc w:val="center"/>
              <w:ind w:left="17"/>
              <w:spacing w:after="0"/>
              <w:rPr>
                <w:sz w:val="20"/>
                <w:szCs w:val="20"/>
                <w:color w:val="auto"/>
              </w:rPr>
            </w:pPr>
            <w:r>
              <w:rPr>
                <w:rFonts w:ascii="Arial" w:cs="Arial" w:eastAsia="Arial" w:hAnsi="Arial"/>
                <w:sz w:val="18"/>
                <w:szCs w:val="18"/>
                <w:color w:val="auto"/>
                <w:w w:val="89"/>
              </w:rPr>
              <w:t>8,622,941</w:t>
            </w:r>
          </w:p>
        </w:tc>
        <w:tc>
          <w:tcPr>
            <w:tcW w:w="1720" w:type="dxa"/>
            <w:vAlign w:val="bottom"/>
          </w:tcPr>
          <w:p>
            <w:pPr>
              <w:jc w:val="center"/>
              <w:ind w:left="121"/>
              <w:spacing w:after="0"/>
              <w:rPr>
                <w:sz w:val="20"/>
                <w:szCs w:val="20"/>
                <w:color w:val="auto"/>
              </w:rPr>
            </w:pPr>
            <w:r>
              <w:rPr>
                <w:rFonts w:ascii="Arial" w:cs="Arial" w:eastAsia="Arial" w:hAnsi="Arial"/>
                <w:sz w:val="18"/>
                <w:szCs w:val="18"/>
                <w:color w:val="auto"/>
                <w:w w:val="91"/>
              </w:rPr>
              <w:t>(6,900,606)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4,273,852</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(2,264,660)</w:t>
            </w:r>
          </w:p>
        </w:tc>
        <w:tc>
          <w:tcPr>
            <w:tcW w:w="1740" w:type="dxa"/>
            <w:vAlign w:val="bottom"/>
          </w:tcPr>
          <w:p>
            <w:pPr>
              <w:jc w:val="center"/>
              <w:ind w:right="63"/>
              <w:spacing w:after="0"/>
              <w:rPr>
                <w:sz w:val="20"/>
                <w:szCs w:val="20"/>
                <w:color w:val="auto"/>
              </w:rPr>
            </w:pPr>
            <w:r>
              <w:rPr>
                <w:rFonts w:ascii="Arial" w:cs="Arial" w:eastAsia="Arial" w:hAnsi="Arial"/>
                <w:sz w:val="18"/>
                <w:szCs w:val="18"/>
                <w:color w:val="auto"/>
                <w:w w:val="91"/>
              </w:rPr>
              <w:t>(1,083,410)</w:t>
            </w:r>
          </w:p>
        </w:tc>
        <w:tc>
          <w:tcPr>
            <w:tcW w:w="1320" w:type="dxa"/>
            <w:vAlign w:val="bottom"/>
          </w:tcPr>
          <w:p>
            <w:pPr>
              <w:jc w:val="center"/>
              <w:ind w:right="37"/>
              <w:spacing w:after="0"/>
              <w:rPr>
                <w:sz w:val="20"/>
                <w:szCs w:val="20"/>
                <w:color w:val="auto"/>
              </w:rPr>
            </w:pPr>
            <w:r>
              <w:rPr>
                <w:rFonts w:ascii="Arial" w:cs="Arial" w:eastAsia="Arial" w:hAnsi="Arial"/>
                <w:sz w:val="18"/>
                <w:szCs w:val="18"/>
                <w:color w:val="auto"/>
                <w:w w:val="89"/>
              </w:rPr>
              <w:t>2,648,117</w:t>
            </w:r>
          </w:p>
        </w:tc>
        <w:tc>
          <w:tcPr>
            <w:tcW w:w="0" w:type="dxa"/>
            <w:vAlign w:val="bottom"/>
          </w:tcPr>
          <w:p>
            <w:pPr>
              <w:spacing w:after="0"/>
              <w:rPr>
                <w:sz w:val="1"/>
                <w:szCs w:val="1"/>
                <w:color w:val="auto"/>
              </w:rPr>
            </w:pPr>
          </w:p>
        </w:tc>
      </w:tr>
      <w:tr>
        <w:trPr>
          <w:trHeight w:val="249"/>
        </w:trPr>
        <w:tc>
          <w:tcPr>
            <w:tcW w:w="840" w:type="dxa"/>
            <w:vAlign w:val="bottom"/>
            <w:shd w:val="clear" w:color="auto" w:fill="DEEAF6"/>
          </w:tcPr>
          <w:p>
            <w:pPr>
              <w:ind w:left="100"/>
              <w:spacing w:after="0"/>
              <w:rPr>
                <w:sz w:val="20"/>
                <w:szCs w:val="20"/>
                <w:color w:val="auto"/>
              </w:rPr>
            </w:pPr>
            <w:r>
              <w:rPr>
                <w:rFonts w:ascii="Arial" w:cs="Arial" w:eastAsia="Arial" w:hAnsi="Arial"/>
                <w:sz w:val="18"/>
                <w:szCs w:val="18"/>
                <w:color w:val="auto"/>
              </w:rPr>
              <w:t>2020</w:t>
            </w:r>
          </w:p>
        </w:tc>
        <w:tc>
          <w:tcPr>
            <w:tcW w:w="1340" w:type="dxa"/>
            <w:vAlign w:val="bottom"/>
            <w:shd w:val="clear" w:color="auto" w:fill="DEEAF6"/>
          </w:tcPr>
          <w:p>
            <w:pPr>
              <w:jc w:val="center"/>
              <w:ind w:left="17"/>
              <w:spacing w:after="0"/>
              <w:rPr>
                <w:sz w:val="20"/>
                <w:szCs w:val="20"/>
                <w:color w:val="auto"/>
              </w:rPr>
            </w:pPr>
            <w:r>
              <w:rPr>
                <w:rFonts w:ascii="Arial" w:cs="Arial" w:eastAsia="Arial" w:hAnsi="Arial"/>
                <w:sz w:val="18"/>
                <w:szCs w:val="18"/>
                <w:color w:val="auto"/>
                <w:w w:val="89"/>
              </w:rPr>
              <w:t>7,644,087</w:t>
            </w:r>
          </w:p>
        </w:tc>
        <w:tc>
          <w:tcPr>
            <w:tcW w:w="1720" w:type="dxa"/>
            <w:vAlign w:val="bottom"/>
            <w:shd w:val="clear" w:color="auto" w:fill="DEEAF6"/>
          </w:tcPr>
          <w:p>
            <w:pPr>
              <w:jc w:val="center"/>
              <w:ind w:left="121"/>
              <w:spacing w:after="0"/>
              <w:rPr>
                <w:sz w:val="20"/>
                <w:szCs w:val="20"/>
                <w:color w:val="auto"/>
              </w:rPr>
            </w:pPr>
            <w:r>
              <w:rPr>
                <w:rFonts w:ascii="Arial" w:cs="Arial" w:eastAsia="Arial" w:hAnsi="Arial"/>
                <w:sz w:val="18"/>
                <w:szCs w:val="18"/>
                <w:color w:val="auto"/>
                <w:w w:val="91"/>
              </w:rPr>
              <w:t>(6,646,254)</w:t>
            </w:r>
          </w:p>
        </w:tc>
        <w:tc>
          <w:tcPr>
            <w:tcW w:w="15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7,228,210</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67,721</w:t>
            </w:r>
          </w:p>
        </w:tc>
        <w:tc>
          <w:tcPr>
            <w:tcW w:w="1740" w:type="dxa"/>
            <w:vAlign w:val="bottom"/>
            <w:shd w:val="clear" w:color="auto" w:fill="DEEAF6"/>
          </w:tcPr>
          <w:p>
            <w:pPr>
              <w:jc w:val="center"/>
              <w:ind w:right="83"/>
              <w:spacing w:after="0"/>
              <w:rPr>
                <w:sz w:val="20"/>
                <w:szCs w:val="20"/>
                <w:color w:val="auto"/>
              </w:rPr>
            </w:pPr>
            <w:r>
              <w:rPr>
                <w:rFonts w:ascii="Arial" w:cs="Arial" w:eastAsia="Arial" w:hAnsi="Arial"/>
                <w:sz w:val="18"/>
                <w:szCs w:val="18"/>
                <w:color w:val="auto"/>
                <w:w w:val="90"/>
              </w:rPr>
              <w:t>(715,569)</w:t>
            </w:r>
          </w:p>
        </w:tc>
        <w:tc>
          <w:tcPr>
            <w:tcW w:w="1320" w:type="dxa"/>
            <w:vAlign w:val="bottom"/>
            <w:shd w:val="clear" w:color="auto" w:fill="DEEAF6"/>
          </w:tcPr>
          <w:p>
            <w:pPr>
              <w:jc w:val="center"/>
              <w:ind w:right="37"/>
              <w:spacing w:after="0"/>
              <w:rPr>
                <w:sz w:val="20"/>
                <w:szCs w:val="20"/>
                <w:color w:val="auto"/>
              </w:rPr>
            </w:pPr>
            <w:r>
              <w:rPr>
                <w:rFonts w:ascii="Arial" w:cs="Arial" w:eastAsia="Arial" w:hAnsi="Arial"/>
                <w:sz w:val="18"/>
                <w:szCs w:val="18"/>
                <w:color w:val="auto"/>
                <w:w w:val="89"/>
              </w:rPr>
              <w:t>7,578,195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60" w:right="120" w:hanging="752"/>
        <w:spacing w:after="0" w:line="253"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average total compensation of our non-PEO NEOs as reported in the SCT for each of the years presented. For 2022, our non-PEO NEOs were Vit Vasista, Curran Simpson, Stephen Pakola and Olivier Danos. For 2021 and 2020, our non-PEO NEOs were Vit Vasista, Curran Simpson, Olivier Danos, Ph.D. and Patrick J. Christmas. Since the makeup of our non-PEO NEOs may change from year to year, the amounts reported in this table for 2021 and 2020 will not necessarily be equal to the average total compensation of our non-PEO NEOs reported for such years in the SCT of this Proxy Statement.</w:t>
      </w:r>
    </w:p>
    <w:p>
      <w:pPr>
        <w:spacing w:after="0" w:line="3" w:lineRule="exact"/>
        <w:rPr>
          <w:rFonts w:ascii="Arial" w:cs="Arial" w:eastAsia="Arial" w:hAnsi="Arial"/>
          <w:sz w:val="18"/>
          <w:szCs w:val="18"/>
          <w:color w:val="auto"/>
        </w:rPr>
      </w:pPr>
    </w:p>
    <w:p>
      <w:pPr>
        <w:ind w:left="760" w:right="80" w:hanging="752"/>
        <w:spacing w:after="0" w:line="260"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average CAP to our non-PEO NEOs for each of the years presented using the calculations discussed in footnote 2. Refer to footnote 4 for the identification of our non-PEO NEOs for each of the years presented. The following table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760"/>
        <w:spacing w:after="0"/>
        <w:rPr>
          <w:sz w:val="20"/>
          <w:szCs w:val="20"/>
          <w:color w:val="auto"/>
        </w:rPr>
      </w:pPr>
      <w:r>
        <w:rPr>
          <w:rFonts w:ascii="Arial" w:cs="Arial" w:eastAsia="Arial" w:hAnsi="Arial"/>
          <w:sz w:val="16"/>
          <w:szCs w:val="16"/>
          <w:color w:val="auto"/>
        </w:rPr>
        <w:t>presents a reconciliation of the average total compensation reported in the SCT to CAP for our non-PEO NEOs for each of the years presented.</w:t>
      </w:r>
    </w:p>
    <w:p>
      <w:pPr>
        <w:spacing w:after="0" w:line="29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Reconciliation of SCT Total to CAP for Average of Non-PEO NEOs</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33"/>
        </w:trPr>
        <w:tc>
          <w:tcPr>
            <w:tcW w:w="8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Change in Fair Value</w:t>
            </w:r>
          </w:p>
        </w:tc>
        <w:tc>
          <w:tcPr>
            <w:tcW w:w="1740" w:type="dxa"/>
            <w:vAlign w:val="bottom"/>
            <w:tcBorders>
              <w:top w:val="single" w:sz="8" w:color="auto"/>
            </w:tcBorders>
          </w:tcPr>
          <w:p>
            <w:pPr>
              <w:jc w:val="center"/>
              <w:ind w:right="123"/>
              <w:spacing w:after="0" w:line="133" w:lineRule="exact"/>
              <w:rPr>
                <w:sz w:val="20"/>
                <w:szCs w:val="20"/>
                <w:color w:val="auto"/>
              </w:rPr>
            </w:pPr>
            <w:r>
              <w:rPr>
                <w:rFonts w:ascii="Arial" w:cs="Arial" w:eastAsia="Arial" w:hAnsi="Arial"/>
                <w:sz w:val="14"/>
                <w:szCs w:val="14"/>
                <w:b w:val="1"/>
                <w:bCs w:val="1"/>
                <w:color w:val="auto"/>
                <w:w w:val="93"/>
              </w:rPr>
              <w:t>Change in Fair Value</w:t>
            </w: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Year-end Fair Value of</w:t>
            </w:r>
          </w:p>
        </w:tc>
        <w:tc>
          <w:tcPr>
            <w:tcW w:w="1580" w:type="dxa"/>
            <w:vAlign w:val="bottom"/>
            <w:vMerge w:val="continue"/>
          </w:tcPr>
          <w:p>
            <w:pPr>
              <w:spacing w:after="0"/>
              <w:rPr>
                <w:sz w:val="12"/>
                <w:szCs w:val="12"/>
                <w:color w:val="auto"/>
              </w:rPr>
            </w:pPr>
          </w:p>
        </w:tc>
        <w:tc>
          <w:tcPr>
            <w:tcW w:w="1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from Prior Year-end to</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vMerge w:val="restart"/>
          </w:tcPr>
          <w:p>
            <w:pPr>
              <w:jc w:val="center"/>
              <w:ind w:left="61"/>
              <w:spacing w:after="0"/>
              <w:rPr>
                <w:sz w:val="20"/>
                <w:szCs w:val="20"/>
                <w:color w:val="auto"/>
              </w:rPr>
            </w:pPr>
            <w:r>
              <w:rPr>
                <w:rFonts w:ascii="Arial" w:cs="Arial" w:eastAsia="Arial" w:hAnsi="Arial"/>
                <w:sz w:val="14"/>
                <w:szCs w:val="14"/>
                <w:b w:val="1"/>
                <w:bCs w:val="1"/>
                <w:color w:val="auto"/>
                <w:w w:val="96"/>
              </w:rPr>
              <w:t>Grant Date Fair Value</w:t>
            </w:r>
          </w:p>
        </w:tc>
        <w:tc>
          <w:tcPr>
            <w:tcW w:w="15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During the Year of</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Vesting Date of Equity</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4"/>
              </w:rPr>
              <w:t>Awards Granted in</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4"/>
              </w:rPr>
              <w:t>of Awards Granted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Granted During the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 in Prior</w:t>
            </w:r>
          </w:p>
        </w:tc>
        <w:tc>
          <w:tcPr>
            <w:tcW w:w="17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6"/>
              </w:rPr>
              <w:t>Prior Years That</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3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SCT Total</w:t>
            </w:r>
          </w:p>
        </w:tc>
        <w:tc>
          <w:tcPr>
            <w:tcW w:w="172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5"/>
              </w:rPr>
              <w:t>During the Year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Outstanding and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Years Outstanding and</w:t>
            </w:r>
          </w:p>
        </w:tc>
        <w:tc>
          <w:tcPr>
            <w:tcW w:w="17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1"/>
              </w:rPr>
              <w:t>Vested During the</w:t>
            </w:r>
          </w:p>
        </w:tc>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CAP</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Year</w:t>
            </w:r>
          </w:p>
        </w:tc>
        <w:tc>
          <w:tcPr>
            <w:tcW w:w="1340" w:type="dxa"/>
            <w:vAlign w:val="bottom"/>
            <w:vMerge w:val="continue"/>
          </w:tcPr>
          <w:p>
            <w:pPr>
              <w:spacing w:after="0"/>
              <w:rPr>
                <w:sz w:val="12"/>
                <w:szCs w:val="12"/>
                <w:color w:val="auto"/>
              </w:rPr>
            </w:pPr>
          </w:p>
        </w:tc>
        <w:tc>
          <w:tcPr>
            <w:tcW w:w="17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4"/>
              </w:rPr>
              <w:t>Included in SCT Total</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Unvested at Year-end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Unvested at Year-end</w:t>
            </w:r>
          </w:p>
        </w:tc>
        <w:tc>
          <w:tcPr>
            <w:tcW w:w="1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8"/>
              </w:rPr>
              <w:t>Year</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7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7"/>
        </w:trPr>
        <w:tc>
          <w:tcPr>
            <w:tcW w:w="840" w:type="dxa"/>
            <w:vAlign w:val="bottom"/>
            <w:shd w:val="clear" w:color="auto" w:fill="DEEAF6"/>
          </w:tcPr>
          <w:p>
            <w:pPr>
              <w:ind w:left="100"/>
              <w:spacing w:after="0"/>
              <w:rPr>
                <w:sz w:val="20"/>
                <w:szCs w:val="20"/>
                <w:color w:val="auto"/>
              </w:rPr>
            </w:pPr>
            <w:r>
              <w:rPr>
                <w:rFonts w:ascii="Arial" w:cs="Arial" w:eastAsia="Arial" w:hAnsi="Arial"/>
                <w:sz w:val="18"/>
                <w:szCs w:val="18"/>
                <w:color w:val="auto"/>
              </w:rPr>
              <w:t>2022</w:t>
            </w:r>
          </w:p>
        </w:tc>
        <w:tc>
          <w:tcPr>
            <w:tcW w:w="1340" w:type="dxa"/>
            <w:vAlign w:val="bottom"/>
            <w:shd w:val="clear" w:color="auto" w:fill="DEEAF6"/>
          </w:tcPr>
          <w:p>
            <w:pPr>
              <w:jc w:val="center"/>
              <w:ind w:left="17"/>
              <w:spacing w:after="0"/>
              <w:rPr>
                <w:sz w:val="20"/>
                <w:szCs w:val="20"/>
                <w:color w:val="auto"/>
              </w:rPr>
            </w:pPr>
            <w:r>
              <w:rPr>
                <w:rFonts w:ascii="Arial" w:cs="Arial" w:eastAsia="Arial" w:hAnsi="Arial"/>
                <w:sz w:val="18"/>
                <w:szCs w:val="18"/>
                <w:color w:val="auto"/>
                <w:w w:val="89"/>
              </w:rPr>
              <w:t>1,988,042</w:t>
            </w:r>
          </w:p>
        </w:tc>
        <w:tc>
          <w:tcPr>
            <w:tcW w:w="1720" w:type="dxa"/>
            <w:vAlign w:val="bottom"/>
            <w:shd w:val="clear" w:color="auto" w:fill="DEEAF6"/>
          </w:tcPr>
          <w:p>
            <w:pPr>
              <w:jc w:val="center"/>
              <w:ind w:left="121"/>
              <w:spacing w:after="0"/>
              <w:rPr>
                <w:sz w:val="20"/>
                <w:szCs w:val="20"/>
                <w:color w:val="auto"/>
              </w:rPr>
            </w:pPr>
            <w:r>
              <w:rPr>
                <w:rFonts w:ascii="Arial" w:cs="Arial" w:eastAsia="Arial" w:hAnsi="Arial"/>
                <w:sz w:val="18"/>
                <w:szCs w:val="18"/>
                <w:color w:val="auto"/>
                <w:w w:val="91"/>
              </w:rPr>
              <w:t>(1,300,311)</w:t>
            </w:r>
          </w:p>
        </w:tc>
        <w:tc>
          <w:tcPr>
            <w:tcW w:w="15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2"/>
              </w:rPr>
              <w:t>743,295</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(435,690)</w:t>
            </w:r>
          </w:p>
        </w:tc>
        <w:tc>
          <w:tcPr>
            <w:tcW w:w="1740" w:type="dxa"/>
            <w:vAlign w:val="bottom"/>
            <w:shd w:val="clear" w:color="auto" w:fill="DEEAF6"/>
          </w:tcPr>
          <w:p>
            <w:pPr>
              <w:jc w:val="center"/>
              <w:ind w:right="83"/>
              <w:spacing w:after="0"/>
              <w:rPr>
                <w:sz w:val="20"/>
                <w:szCs w:val="20"/>
                <w:color w:val="auto"/>
              </w:rPr>
            </w:pPr>
            <w:r>
              <w:rPr>
                <w:rFonts w:ascii="Arial" w:cs="Arial" w:eastAsia="Arial" w:hAnsi="Arial"/>
                <w:sz w:val="18"/>
                <w:szCs w:val="18"/>
                <w:color w:val="auto"/>
                <w:w w:val="90"/>
              </w:rPr>
              <w:t>(167,184)</w:t>
            </w:r>
          </w:p>
        </w:tc>
        <w:tc>
          <w:tcPr>
            <w:tcW w:w="1320" w:type="dxa"/>
            <w:vAlign w:val="bottom"/>
            <w:shd w:val="clear" w:color="auto" w:fill="DEEAF6"/>
          </w:tcPr>
          <w:p>
            <w:pPr>
              <w:jc w:val="center"/>
              <w:ind w:right="37"/>
              <w:spacing w:after="0"/>
              <w:rPr>
                <w:sz w:val="20"/>
                <w:szCs w:val="20"/>
                <w:color w:val="auto"/>
              </w:rPr>
            </w:pPr>
            <w:r>
              <w:rPr>
                <w:rFonts w:ascii="Arial" w:cs="Arial" w:eastAsia="Arial" w:hAnsi="Arial"/>
                <w:sz w:val="18"/>
                <w:szCs w:val="18"/>
                <w:color w:val="auto"/>
                <w:w w:val="92"/>
              </w:rPr>
              <w:t>828,152</w:t>
            </w:r>
          </w:p>
        </w:tc>
        <w:tc>
          <w:tcPr>
            <w:tcW w:w="0" w:type="dxa"/>
            <w:vAlign w:val="bottom"/>
          </w:tcPr>
          <w:p>
            <w:pPr>
              <w:spacing w:after="0"/>
              <w:rPr>
                <w:sz w:val="1"/>
                <w:szCs w:val="1"/>
                <w:color w:val="auto"/>
              </w:rPr>
            </w:pPr>
          </w:p>
        </w:tc>
      </w:tr>
      <w:tr>
        <w:trPr>
          <w:trHeight w:val="237"/>
        </w:trPr>
        <w:tc>
          <w:tcPr>
            <w:tcW w:w="840" w:type="dxa"/>
            <w:vAlign w:val="bottom"/>
          </w:tcPr>
          <w:p>
            <w:pPr>
              <w:ind w:left="100"/>
              <w:spacing w:after="0"/>
              <w:rPr>
                <w:sz w:val="20"/>
                <w:szCs w:val="20"/>
                <w:color w:val="auto"/>
              </w:rPr>
            </w:pPr>
            <w:r>
              <w:rPr>
                <w:rFonts w:ascii="Arial" w:cs="Arial" w:eastAsia="Arial" w:hAnsi="Arial"/>
                <w:sz w:val="18"/>
                <w:szCs w:val="18"/>
                <w:color w:val="auto"/>
              </w:rPr>
              <w:t>2021</w:t>
            </w:r>
          </w:p>
        </w:tc>
        <w:tc>
          <w:tcPr>
            <w:tcW w:w="1340" w:type="dxa"/>
            <w:vAlign w:val="bottom"/>
          </w:tcPr>
          <w:p>
            <w:pPr>
              <w:jc w:val="center"/>
              <w:ind w:left="17"/>
              <w:spacing w:after="0"/>
              <w:rPr>
                <w:sz w:val="20"/>
                <w:szCs w:val="20"/>
                <w:color w:val="auto"/>
              </w:rPr>
            </w:pPr>
            <w:r>
              <w:rPr>
                <w:rFonts w:ascii="Arial" w:cs="Arial" w:eastAsia="Arial" w:hAnsi="Arial"/>
                <w:sz w:val="18"/>
                <w:szCs w:val="18"/>
                <w:color w:val="auto"/>
                <w:w w:val="89"/>
              </w:rPr>
              <w:t>3,207,479</w:t>
            </w:r>
          </w:p>
        </w:tc>
        <w:tc>
          <w:tcPr>
            <w:tcW w:w="1720" w:type="dxa"/>
            <w:vAlign w:val="bottom"/>
          </w:tcPr>
          <w:p>
            <w:pPr>
              <w:jc w:val="center"/>
              <w:ind w:left="121"/>
              <w:spacing w:after="0"/>
              <w:rPr>
                <w:sz w:val="20"/>
                <w:szCs w:val="20"/>
                <w:color w:val="auto"/>
              </w:rPr>
            </w:pPr>
            <w:r>
              <w:rPr>
                <w:rFonts w:ascii="Arial" w:cs="Arial" w:eastAsia="Arial" w:hAnsi="Arial"/>
                <w:sz w:val="18"/>
                <w:szCs w:val="18"/>
                <w:color w:val="auto"/>
                <w:w w:val="91"/>
              </w:rPr>
              <w:t>(2,174,538)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1,346,689</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(456,963)</w:t>
            </w:r>
          </w:p>
        </w:tc>
        <w:tc>
          <w:tcPr>
            <w:tcW w:w="1740" w:type="dxa"/>
            <w:vAlign w:val="bottom"/>
          </w:tcPr>
          <w:p>
            <w:pPr>
              <w:jc w:val="center"/>
              <w:ind w:right="83"/>
              <w:spacing w:after="0"/>
              <w:rPr>
                <w:sz w:val="20"/>
                <w:szCs w:val="20"/>
                <w:color w:val="auto"/>
              </w:rPr>
            </w:pPr>
            <w:r>
              <w:rPr>
                <w:rFonts w:ascii="Arial" w:cs="Arial" w:eastAsia="Arial" w:hAnsi="Arial"/>
                <w:sz w:val="18"/>
                <w:szCs w:val="18"/>
                <w:color w:val="auto"/>
                <w:w w:val="90"/>
              </w:rPr>
              <w:t>(264,627)</w:t>
            </w:r>
          </w:p>
        </w:tc>
        <w:tc>
          <w:tcPr>
            <w:tcW w:w="1320" w:type="dxa"/>
            <w:vAlign w:val="bottom"/>
          </w:tcPr>
          <w:p>
            <w:pPr>
              <w:jc w:val="center"/>
              <w:ind w:right="37"/>
              <w:spacing w:after="0"/>
              <w:rPr>
                <w:sz w:val="20"/>
                <w:szCs w:val="20"/>
                <w:color w:val="auto"/>
              </w:rPr>
            </w:pPr>
            <w:r>
              <w:rPr>
                <w:rFonts w:ascii="Arial" w:cs="Arial" w:eastAsia="Arial" w:hAnsi="Arial"/>
                <w:sz w:val="18"/>
                <w:szCs w:val="18"/>
                <w:color w:val="auto"/>
                <w:w w:val="89"/>
              </w:rPr>
              <w:t>1,658,040</w:t>
            </w:r>
          </w:p>
        </w:tc>
        <w:tc>
          <w:tcPr>
            <w:tcW w:w="0" w:type="dxa"/>
            <w:vAlign w:val="bottom"/>
          </w:tcPr>
          <w:p>
            <w:pPr>
              <w:spacing w:after="0"/>
              <w:rPr>
                <w:sz w:val="1"/>
                <w:szCs w:val="1"/>
                <w:color w:val="auto"/>
              </w:rPr>
            </w:pPr>
          </w:p>
        </w:tc>
      </w:tr>
      <w:tr>
        <w:trPr>
          <w:trHeight w:val="249"/>
        </w:trPr>
        <w:tc>
          <w:tcPr>
            <w:tcW w:w="840" w:type="dxa"/>
            <w:vAlign w:val="bottom"/>
            <w:shd w:val="clear" w:color="auto" w:fill="DEEAF6"/>
          </w:tcPr>
          <w:p>
            <w:pPr>
              <w:ind w:left="100"/>
              <w:spacing w:after="0"/>
              <w:rPr>
                <w:sz w:val="20"/>
                <w:szCs w:val="20"/>
                <w:color w:val="auto"/>
              </w:rPr>
            </w:pPr>
            <w:r>
              <w:rPr>
                <w:rFonts w:ascii="Arial" w:cs="Arial" w:eastAsia="Arial" w:hAnsi="Arial"/>
                <w:sz w:val="18"/>
                <w:szCs w:val="18"/>
                <w:color w:val="auto"/>
              </w:rPr>
              <w:t>2020</w:t>
            </w:r>
          </w:p>
        </w:tc>
        <w:tc>
          <w:tcPr>
            <w:tcW w:w="1340" w:type="dxa"/>
            <w:vAlign w:val="bottom"/>
            <w:shd w:val="clear" w:color="auto" w:fill="DEEAF6"/>
          </w:tcPr>
          <w:p>
            <w:pPr>
              <w:jc w:val="center"/>
              <w:ind w:left="17"/>
              <w:spacing w:after="0"/>
              <w:rPr>
                <w:sz w:val="20"/>
                <w:szCs w:val="20"/>
                <w:color w:val="auto"/>
              </w:rPr>
            </w:pPr>
            <w:r>
              <w:rPr>
                <w:rFonts w:ascii="Arial" w:cs="Arial" w:eastAsia="Arial" w:hAnsi="Arial"/>
                <w:sz w:val="18"/>
                <w:szCs w:val="18"/>
                <w:color w:val="auto"/>
                <w:w w:val="89"/>
              </w:rPr>
              <w:t>1,820,462</w:t>
            </w:r>
          </w:p>
        </w:tc>
        <w:tc>
          <w:tcPr>
            <w:tcW w:w="1720" w:type="dxa"/>
            <w:vAlign w:val="bottom"/>
            <w:shd w:val="clear" w:color="auto" w:fill="DEEAF6"/>
          </w:tcPr>
          <w:p>
            <w:pPr>
              <w:jc w:val="center"/>
              <w:ind w:left="121"/>
              <w:spacing w:after="0"/>
              <w:rPr>
                <w:sz w:val="20"/>
                <w:szCs w:val="20"/>
                <w:color w:val="auto"/>
              </w:rPr>
            </w:pPr>
            <w:r>
              <w:rPr>
                <w:rFonts w:ascii="Arial" w:cs="Arial" w:eastAsia="Arial" w:hAnsi="Arial"/>
                <w:sz w:val="18"/>
                <w:szCs w:val="18"/>
                <w:color w:val="auto"/>
                <w:w w:val="91"/>
              </w:rPr>
              <w:t>(1,193,864)</w:t>
            </w:r>
          </w:p>
        </w:tc>
        <w:tc>
          <w:tcPr>
            <w:tcW w:w="15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89"/>
              </w:rPr>
              <w:t>1,298,401</w:t>
            </w:r>
          </w:p>
        </w:tc>
        <w:tc>
          <w:tcPr>
            <w:tcW w:w="158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0"/>
              </w:rPr>
              <w:t>22,196</w:t>
            </w:r>
          </w:p>
        </w:tc>
        <w:tc>
          <w:tcPr>
            <w:tcW w:w="1740" w:type="dxa"/>
            <w:vAlign w:val="bottom"/>
            <w:shd w:val="clear" w:color="auto" w:fill="DEEAF6"/>
          </w:tcPr>
          <w:p>
            <w:pPr>
              <w:jc w:val="center"/>
              <w:ind w:right="83"/>
              <w:spacing w:after="0"/>
              <w:rPr>
                <w:sz w:val="20"/>
                <w:szCs w:val="20"/>
                <w:color w:val="auto"/>
              </w:rPr>
            </w:pPr>
            <w:r>
              <w:rPr>
                <w:rFonts w:ascii="Arial" w:cs="Arial" w:eastAsia="Arial" w:hAnsi="Arial"/>
                <w:sz w:val="18"/>
                <w:szCs w:val="18"/>
                <w:color w:val="auto"/>
                <w:w w:val="90"/>
              </w:rPr>
              <w:t>(217,934)</w:t>
            </w:r>
          </w:p>
        </w:tc>
        <w:tc>
          <w:tcPr>
            <w:tcW w:w="1320" w:type="dxa"/>
            <w:vAlign w:val="bottom"/>
            <w:shd w:val="clear" w:color="auto" w:fill="DEEAF6"/>
          </w:tcPr>
          <w:p>
            <w:pPr>
              <w:jc w:val="center"/>
              <w:ind w:right="37"/>
              <w:spacing w:after="0"/>
              <w:rPr>
                <w:sz w:val="20"/>
                <w:szCs w:val="20"/>
                <w:color w:val="auto"/>
              </w:rPr>
            </w:pPr>
            <w:r>
              <w:rPr>
                <w:rFonts w:ascii="Arial" w:cs="Arial" w:eastAsia="Arial" w:hAnsi="Arial"/>
                <w:sz w:val="18"/>
                <w:szCs w:val="18"/>
                <w:color w:val="auto"/>
                <w:w w:val="89"/>
              </w:rPr>
              <w:t>1,729,261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60" w:right="100" w:hanging="752"/>
        <w:spacing w:after="0" w:line="286"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each reporting year presented, amount represents the cumulative TSR on our common stock between December 31, 2019 and the end of the reporting year, assuming an investment of $100 in our common stock at the closing price on December 31, 2019 and the reinvestment of dividends, if any. Information used for this calculation was obtained from the Nasdaq Stock Market LLC, a financial data provider and a source believed to be reliable. The Nasdaq Stock Market LLC is not responsible for any errors or omissions in such information.</w:t>
      </w:r>
    </w:p>
    <w:p>
      <w:pPr>
        <w:spacing w:after="0" w:line="1" w:lineRule="exact"/>
        <w:rPr>
          <w:rFonts w:ascii="Arial" w:cs="Arial" w:eastAsia="Arial" w:hAnsi="Arial"/>
          <w:sz w:val="16"/>
          <w:szCs w:val="16"/>
          <w:color w:val="auto"/>
        </w:rPr>
      </w:pPr>
    </w:p>
    <w:p>
      <w:pPr>
        <w:ind w:left="760" w:hanging="752"/>
        <w:spacing w:after="0" w:line="281"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each reporting year presented, amount represents the cumulative TSR of the Nasdaq Biotechnology Index between December 31, 2019 and the end of the reporting year, assuming an investment of $100 in the Nasdaq Biotechnology Index at the closing price on December 31, 2019 and the reinvestment of dividends, if any. Information used for this calculation was obtained from the Nasdaq Stock Market LLC, a financial data provider and a source believed to be reliable. The Nasdaq Stock Market LLC is not responsible for any errors or omissions in such information.</w:t>
      </w:r>
    </w:p>
    <w:p>
      <w:pPr>
        <w:spacing w:after="0" w:line="2" w:lineRule="exact"/>
        <w:rPr>
          <w:rFonts w:ascii="Arial" w:cs="Arial" w:eastAsia="Arial" w:hAnsi="Arial"/>
          <w:sz w:val="16"/>
          <w:szCs w:val="16"/>
          <w:color w:val="auto"/>
        </w:rPr>
      </w:pPr>
    </w:p>
    <w:p>
      <w:pPr>
        <w:ind w:left="760" w:right="80" w:hanging="752"/>
        <w:spacing w:after="0" w:line="260"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reported in our audited consolidated financial statements accompanying our Annual Report on Form 10-K for the years ended December 31, 2022, 2021 and 2020.</w:t>
      </w:r>
    </w:p>
    <w:p>
      <w:pPr>
        <w:spacing w:after="0" w:line="185"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table below presents the most important financial performance measures used by the Company to link compensation actually paid to NEOs to Company performance in 2022. Only two financial measures, which are listed alphabetically below, are currently used as performance measures under the Company’s incentive plans. The limited use of financial performance measures reflects the life cycle stage of the Company, with our incentive plans primarily focused on the advancement of our product candidate pipeline and achievement of milestones. Because we are not a commercial-stage company, we did not have any revenue during the periods presented other than license and royalty revenue. Consequently, financial performance measures other than the ending balance in cash, cash equivalents and marketable securities are not as pertinent as other measures that we use to align executive compensation with our performance. For a full discussion of the factors that influence our executive compensation program, please refer to the Compensation Discussion and Analysis section of this Proxy Statement.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Most Important Financial Performance Measures (Unranked)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2820" w:right="4140" w:firstLine="54"/>
        <w:spacing w:after="0" w:line="266" w:lineRule="auto"/>
        <w:tabs>
          <w:tab w:leader="none" w:pos="29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Ending balance in cash, cash equivalents and marketable securities</w:t>
      </w:r>
    </w:p>
    <w:p>
      <w:pPr>
        <w:ind w:left="2980" w:hanging="106"/>
        <w:spacing w:after="0"/>
        <w:tabs>
          <w:tab w:leader="none" w:pos="2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-421640</wp:posOffset>
            </wp:positionV>
            <wp:extent cx="356616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2914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ind w:left="752"/>
        <w:spacing w:after="0"/>
        <w:rPr>
          <w:sz w:val="20"/>
          <w:szCs w:val="20"/>
          <w:color w:val="auto"/>
        </w:rPr>
      </w:pPr>
      <w:r>
        <w:rPr>
          <w:rFonts w:ascii="Arial" w:cs="Arial" w:eastAsia="Arial" w:hAnsi="Arial"/>
          <w:sz w:val="16"/>
          <w:szCs w:val="16"/>
          <w:color w:val="auto"/>
        </w:rPr>
        <w:t>The following graphs illustrate the relationships between the compensation actually paid to our NEOs and (1) TSR, (2) Net Income (Loss) and</w:t>
      </w:r>
    </w:p>
    <w:p>
      <w:pPr>
        <w:spacing w:after="0" w:line="46" w:lineRule="exact"/>
        <w:rPr>
          <w:sz w:val="20"/>
          <w:szCs w:val="20"/>
          <w:color w:val="auto"/>
        </w:rPr>
      </w:pPr>
    </w:p>
    <w:p>
      <w:pPr>
        <w:ind w:left="-8" w:right="100" w:firstLine="8"/>
        <w:spacing w:after="0" w:line="249" w:lineRule="auto"/>
        <w:tabs>
          <w:tab w:leader="none" w:pos="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cash equivalents and marketable securities, one of the performance figures disclosed in the pay versus performance table above for each of the years presented.</w:t>
      </w:r>
    </w:p>
    <w:p>
      <w:pPr>
        <w:spacing w:after="0" w:line="1" w:lineRule="exact"/>
        <w:rPr>
          <w:sz w:val="20"/>
          <w:szCs w:val="20"/>
          <w:color w:val="auto"/>
        </w:rPr>
      </w:pPr>
    </w:p>
    <w:p>
      <w:pPr>
        <w:ind w:left="4232"/>
        <w:spacing w:after="0"/>
        <w:rPr>
          <w:sz w:val="20"/>
          <w:szCs w:val="20"/>
          <w:color w:val="auto"/>
        </w:rPr>
      </w:pPr>
      <w:r>
        <w:rPr>
          <w:rFonts w:ascii="Arial" w:cs="Arial" w:eastAsia="Arial" w:hAnsi="Arial"/>
          <w:sz w:val="11"/>
          <w:szCs w:val="11"/>
          <w:color w:val="FFFFFF"/>
        </w:rPr>
        <w:t>Relationship Between Compensation Actually Paid and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-1270</wp:posOffset>
            </wp:positionV>
            <wp:extent cx="4620260" cy="2588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2026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72"/>
        <w:spacing w:after="0"/>
        <w:rPr>
          <w:sz w:val="20"/>
          <w:szCs w:val="20"/>
          <w:color w:val="auto"/>
        </w:rPr>
      </w:pPr>
      <w:r>
        <w:rPr>
          <w:rFonts w:ascii="Arial" w:cs="Arial" w:eastAsia="Arial" w:hAnsi="Arial"/>
          <w:sz w:val="11"/>
          <w:szCs w:val="11"/>
          <w:color w:val="FFFFFF"/>
        </w:rPr>
        <w:t>Relationship Between Compensation Actually Paid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3175</wp:posOffset>
            </wp:positionV>
            <wp:extent cx="4620260" cy="258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2026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341" w:right="559" w:bottom="1440" w:gutter="0" w:footer="0" w:header="0"/>
        </w:sectPr>
      </w:pPr>
    </w:p>
    <w:bookmarkStart w:id="48" w:name="page49"/>
    <w:bookmarkEnd w:id="48"/>
    <w:p>
      <w:pPr>
        <w:ind w:left="2620"/>
        <w:spacing w:after="0"/>
        <w:rPr>
          <w:sz w:val="20"/>
          <w:szCs w:val="20"/>
          <w:color w:val="auto"/>
        </w:rPr>
      </w:pPr>
      <w:r>
        <w:rPr>
          <w:rFonts w:ascii="Arial" w:cs="Arial" w:eastAsia="Arial" w:hAnsi="Arial"/>
          <w:sz w:val="9"/>
          <w:szCs w:val="9"/>
          <w:color w:val="FFFFFF"/>
        </w:rPr>
        <w:t>Relationship Between Compensation Actually Paid and Cash, Cash Equivalents &amp;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17780</wp:posOffset>
            </wp:positionV>
            <wp:extent cx="4620260" cy="258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20260" cy="258889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180" w:firstLine="749"/>
        <w:spacing w:after="0" w:line="259"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common stock as of the close of business on April 3, 2023 (the "Record Date"), by: (i) each person or entity, or group of affiliated persons or entities, that is known by us to beneficially own more than five percent of our outstanding common stock; (ii) each of our directors (including nominees); (iii) each of our named executive officers; and (iv) all of our directors, nominees and executive officers as a group.</w:t>
      </w:r>
    </w:p>
    <w:p>
      <w:pPr>
        <w:spacing w:after="0" w:line="18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information in the following table is based upon information supplied by our executive officers, directors and principal stockholders and information disclosed in filings with the SEC through the Record Date. Applicable percentage ownership is based on 43,465,161 shares of common stock outstanding at the Record Date.</w:t>
      </w:r>
    </w:p>
    <w:p>
      <w:pPr>
        <w:spacing w:after="0" w:line="184"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computing the number of shares of common stock beneficially owned by a person or entity and the percentage ownership of that person or entity, we deemed to be outstanding all shares of common stock subject to options or restricted stock units held by that person or entity that were exercisable or had vested, as applicable, as of the Record Date or may have been exercised or will have vested, as applicable, within 60 days after the Record Date. We did not deem such shares outstanding, however, for the purpose of computing the percentage beneficially owned by any other person or entity. Unless otherwise indicated, the principal address of each of the stockholders below is c/o REGENXBIO Inc., 9804 Medical Center Drive, Rockville, Maryland 20850.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 and Address of Beneficial Owner</w:t>
            </w:r>
          </w:p>
        </w:tc>
        <w:tc>
          <w:tcPr>
            <w:tcW w:w="3180" w:type="dxa"/>
            <w:vAlign w:val="bottom"/>
          </w:tcPr>
          <w:p>
            <w:pPr>
              <w:jc w:val="center"/>
              <w:ind w:right="574"/>
              <w:spacing w:after="0"/>
              <w:rPr>
                <w:sz w:val="20"/>
                <w:szCs w:val="20"/>
                <w:color w:val="auto"/>
              </w:rPr>
            </w:pPr>
            <w:r>
              <w:rPr>
                <w:rFonts w:ascii="Arial" w:cs="Arial" w:eastAsia="Arial" w:hAnsi="Arial"/>
                <w:sz w:val="14"/>
                <w:szCs w:val="14"/>
                <w:b w:val="1"/>
                <w:bCs w:val="1"/>
                <w:color w:val="auto"/>
                <w:w w:val="92"/>
              </w:rPr>
              <w:t>Number of Shares</w:t>
            </w:r>
          </w:p>
        </w:tc>
        <w:tc>
          <w:tcPr>
            <w:tcW w:w="1920" w:type="dxa"/>
            <w:vAlign w:val="bottom"/>
          </w:tcPr>
          <w:p>
            <w:pPr>
              <w:jc w:val="center"/>
              <w:ind w:right="413"/>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auto"/>
            </w:tcBorders>
            <w:vMerge w:val="continue"/>
          </w:tcPr>
          <w:p>
            <w:pPr>
              <w:spacing w:after="0"/>
              <w:rPr>
                <w:sz w:val="16"/>
                <w:szCs w:val="16"/>
                <w:color w:val="auto"/>
              </w:rPr>
            </w:pPr>
          </w:p>
        </w:tc>
        <w:tc>
          <w:tcPr>
            <w:tcW w:w="3180" w:type="dxa"/>
            <w:vAlign w:val="bottom"/>
            <w:tcBorders>
              <w:bottom w:val="single" w:sz="8" w:color="auto"/>
            </w:tcBorders>
          </w:tcPr>
          <w:p>
            <w:pPr>
              <w:jc w:val="center"/>
              <w:ind w:right="574"/>
              <w:spacing w:after="0" w:line="189" w:lineRule="exact"/>
              <w:rPr>
                <w:sz w:val="20"/>
                <w:szCs w:val="20"/>
                <w:color w:val="auto"/>
              </w:rPr>
            </w:pPr>
            <w:r>
              <w:rPr>
                <w:rFonts w:ascii="Arial" w:cs="Arial" w:eastAsia="Arial" w:hAnsi="Arial"/>
                <w:sz w:val="14"/>
                <w:szCs w:val="14"/>
                <w:b w:val="1"/>
                <w:bCs w:val="1"/>
                <w:color w:val="auto"/>
                <w:w w:val="91"/>
              </w:rPr>
              <w:t>Beneficially Owned</w:t>
            </w:r>
            <w:r>
              <w:rPr>
                <w:rFonts w:ascii="Arial" w:cs="Arial" w:eastAsia="Arial" w:hAnsi="Arial"/>
                <w:sz w:val="19"/>
                <w:szCs w:val="19"/>
                <w:b w:val="1"/>
                <w:bCs w:val="1"/>
                <w:color w:val="auto"/>
                <w:w w:val="91"/>
                <w:vertAlign w:val="superscript"/>
              </w:rPr>
              <w:t>(1)</w:t>
            </w:r>
          </w:p>
        </w:tc>
        <w:tc>
          <w:tcPr>
            <w:tcW w:w="192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36"/>
        </w:trPr>
        <w:tc>
          <w:tcPr>
            <w:tcW w:w="6140" w:type="dxa"/>
            <w:vAlign w:val="bottom"/>
            <w:shd w:val="clear" w:color="auto" w:fill="DEEAF6"/>
          </w:tcPr>
          <w:p>
            <w:pPr>
              <w:ind w:left="120"/>
              <w:spacing w:after="0"/>
              <w:rPr>
                <w:sz w:val="20"/>
                <w:szCs w:val="20"/>
                <w:color w:val="auto"/>
              </w:rPr>
            </w:pPr>
            <w:r>
              <w:rPr>
                <w:rFonts w:ascii="Arial" w:cs="Arial" w:eastAsia="Arial" w:hAnsi="Arial"/>
                <w:sz w:val="18"/>
                <w:szCs w:val="18"/>
                <w:b w:val="1"/>
                <w:bCs w:val="1"/>
                <w:color w:val="auto"/>
              </w:rPr>
              <w:t>Holders of More than 5%:</w:t>
            </w:r>
          </w:p>
        </w:tc>
        <w:tc>
          <w:tcPr>
            <w:tcW w:w="3180" w:type="dxa"/>
            <w:vAlign w:val="bottom"/>
            <w:shd w:val="clear" w:color="auto" w:fill="DEEAF6"/>
          </w:tcPr>
          <w:p>
            <w:pPr>
              <w:spacing w:after="0"/>
              <w:rPr>
                <w:sz w:val="20"/>
                <w:szCs w:val="20"/>
                <w:color w:val="auto"/>
              </w:rPr>
            </w:pPr>
          </w:p>
        </w:tc>
        <w:tc>
          <w:tcPr>
            <w:tcW w:w="1920" w:type="dxa"/>
            <w:vAlign w:val="bottom"/>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300"/>
              <w:spacing w:after="0" w:line="216" w:lineRule="exact"/>
              <w:rPr>
                <w:sz w:val="20"/>
                <w:szCs w:val="20"/>
                <w:color w:val="auto"/>
              </w:rPr>
            </w:pPr>
            <w:r>
              <w:rPr>
                <w:rFonts w:ascii="Arial" w:cs="Arial" w:eastAsia="Arial" w:hAnsi="Arial"/>
                <w:sz w:val="18"/>
                <w:szCs w:val="18"/>
                <w:color w:val="auto"/>
              </w:rPr>
              <w:t>BlackRock, Inc.</w:t>
            </w:r>
            <w:r>
              <w:rPr>
                <w:rFonts w:ascii="Arial" w:cs="Arial" w:eastAsia="Arial" w:hAnsi="Arial"/>
                <w:sz w:val="24"/>
                <w:szCs w:val="24"/>
                <w:color w:val="auto"/>
                <w:vertAlign w:val="superscript"/>
              </w:rPr>
              <w:t>(2)</w:t>
            </w:r>
          </w:p>
        </w:tc>
        <w:tc>
          <w:tcPr>
            <w:tcW w:w="3180" w:type="dxa"/>
            <w:vAlign w:val="bottom"/>
          </w:tcPr>
          <w:p>
            <w:pPr>
              <w:jc w:val="center"/>
              <w:ind w:right="574"/>
              <w:spacing w:after="0"/>
              <w:rPr>
                <w:sz w:val="20"/>
                <w:szCs w:val="20"/>
                <w:color w:val="auto"/>
              </w:rPr>
            </w:pPr>
            <w:r>
              <w:rPr>
                <w:rFonts w:ascii="Arial" w:cs="Arial" w:eastAsia="Arial" w:hAnsi="Arial"/>
                <w:sz w:val="18"/>
                <w:szCs w:val="18"/>
                <w:color w:val="auto"/>
                <w:w w:val="89"/>
              </w:rPr>
              <w:t>6,686,350</w:t>
            </w:r>
          </w:p>
        </w:tc>
        <w:tc>
          <w:tcPr>
            <w:tcW w:w="1920" w:type="dxa"/>
            <w:vAlign w:val="bottom"/>
          </w:tcPr>
          <w:p>
            <w:pPr>
              <w:jc w:val="center"/>
              <w:ind w:right="413"/>
              <w:spacing w:after="0"/>
              <w:rPr>
                <w:sz w:val="20"/>
                <w:szCs w:val="20"/>
                <w:color w:val="auto"/>
              </w:rPr>
            </w:pPr>
            <w:r>
              <w:rPr>
                <w:rFonts w:ascii="Arial" w:cs="Arial" w:eastAsia="Arial" w:hAnsi="Arial"/>
                <w:sz w:val="18"/>
                <w:szCs w:val="18"/>
                <w:color w:val="auto"/>
                <w:w w:val="90"/>
              </w:rPr>
              <w:t>15.4%</w:t>
            </w:r>
          </w:p>
        </w:tc>
        <w:tc>
          <w:tcPr>
            <w:tcW w:w="0" w:type="dxa"/>
            <w:vAlign w:val="bottom"/>
          </w:tcPr>
          <w:p>
            <w:pPr>
              <w:spacing w:after="0"/>
              <w:rPr>
                <w:sz w:val="1"/>
                <w:szCs w:val="1"/>
                <w:color w:val="auto"/>
              </w:rPr>
            </w:pPr>
          </w:p>
        </w:tc>
      </w:tr>
      <w:tr>
        <w:trPr>
          <w:trHeight w:val="216"/>
        </w:trPr>
        <w:tc>
          <w:tcPr>
            <w:tcW w:w="6140" w:type="dxa"/>
            <w:vAlign w:val="bottom"/>
          </w:tcPr>
          <w:p>
            <w:pPr>
              <w:ind w:left="420"/>
              <w:spacing w:after="0"/>
              <w:rPr>
                <w:sz w:val="20"/>
                <w:szCs w:val="20"/>
                <w:color w:val="auto"/>
              </w:rPr>
            </w:pPr>
            <w:r>
              <w:rPr>
                <w:rFonts w:ascii="Arial" w:cs="Arial" w:eastAsia="Arial" w:hAnsi="Arial"/>
                <w:sz w:val="18"/>
                <w:szCs w:val="18"/>
                <w:color w:val="auto"/>
              </w:rPr>
              <w:t>55 East 52nd Street</w:t>
            </w:r>
          </w:p>
        </w:tc>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420"/>
              <w:spacing w:after="0"/>
              <w:rPr>
                <w:sz w:val="20"/>
                <w:szCs w:val="20"/>
                <w:color w:val="auto"/>
              </w:rPr>
            </w:pPr>
            <w:r>
              <w:rPr>
                <w:rFonts w:ascii="Arial" w:cs="Arial" w:eastAsia="Arial" w:hAnsi="Arial"/>
                <w:sz w:val="18"/>
                <w:szCs w:val="18"/>
                <w:color w:val="auto"/>
              </w:rPr>
              <w:t>New York, NY 10055</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40" w:type="dxa"/>
            <w:vAlign w:val="bottom"/>
            <w:shd w:val="clear" w:color="auto" w:fill="DEEAF6"/>
          </w:tcPr>
          <w:p>
            <w:pPr>
              <w:ind w:left="300"/>
              <w:spacing w:after="0" w:line="221"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4"/>
                <w:szCs w:val="24"/>
                <w:color w:val="auto"/>
                <w:vertAlign w:val="superscript"/>
              </w:rPr>
              <w:t>(3)</w:t>
            </w:r>
          </w:p>
        </w:tc>
        <w:tc>
          <w:tcPr>
            <w:tcW w:w="3180" w:type="dxa"/>
            <w:vAlign w:val="bottom"/>
            <w:shd w:val="clear" w:color="auto" w:fill="DEEAF6"/>
          </w:tcPr>
          <w:p>
            <w:pPr>
              <w:jc w:val="center"/>
              <w:ind w:right="574"/>
              <w:spacing w:after="0"/>
              <w:rPr>
                <w:sz w:val="20"/>
                <w:szCs w:val="20"/>
                <w:color w:val="auto"/>
              </w:rPr>
            </w:pPr>
            <w:r>
              <w:rPr>
                <w:rFonts w:ascii="Arial" w:cs="Arial" w:eastAsia="Arial" w:hAnsi="Arial"/>
                <w:sz w:val="18"/>
                <w:szCs w:val="18"/>
                <w:color w:val="auto"/>
                <w:w w:val="89"/>
              </w:rPr>
              <w:t>4,272,494</w:t>
            </w:r>
          </w:p>
        </w:tc>
        <w:tc>
          <w:tcPr>
            <w:tcW w:w="1920" w:type="dxa"/>
            <w:vAlign w:val="bottom"/>
            <w:shd w:val="clear" w:color="auto" w:fill="DEEAF6"/>
          </w:tcPr>
          <w:p>
            <w:pPr>
              <w:jc w:val="center"/>
              <w:ind w:right="413"/>
              <w:spacing w:after="0"/>
              <w:rPr>
                <w:sz w:val="20"/>
                <w:szCs w:val="20"/>
                <w:color w:val="auto"/>
              </w:rPr>
            </w:pPr>
            <w:r>
              <w:rPr>
                <w:rFonts w:ascii="Arial" w:cs="Arial" w:eastAsia="Arial" w:hAnsi="Arial"/>
                <w:sz w:val="18"/>
                <w:szCs w:val="18"/>
                <w:color w:val="auto"/>
                <w:w w:val="92"/>
              </w:rPr>
              <w:t>9.8%</w:t>
            </w:r>
          </w:p>
        </w:tc>
        <w:tc>
          <w:tcPr>
            <w:tcW w:w="0" w:type="dxa"/>
            <w:vAlign w:val="bottom"/>
          </w:tcPr>
          <w:p>
            <w:pPr>
              <w:spacing w:after="0"/>
              <w:rPr>
                <w:sz w:val="1"/>
                <w:szCs w:val="1"/>
                <w:color w:val="auto"/>
              </w:rPr>
            </w:pPr>
          </w:p>
        </w:tc>
      </w:tr>
      <w:tr>
        <w:trPr>
          <w:trHeight w:val="216"/>
        </w:trPr>
        <w:tc>
          <w:tcPr>
            <w:tcW w:w="6140" w:type="dxa"/>
            <w:vAlign w:val="bottom"/>
            <w:shd w:val="clear" w:color="auto" w:fill="DEEAF6"/>
          </w:tcPr>
          <w:p>
            <w:pPr>
              <w:ind w:left="420"/>
              <w:spacing w:after="0"/>
              <w:rPr>
                <w:sz w:val="20"/>
                <w:szCs w:val="20"/>
                <w:color w:val="auto"/>
              </w:rPr>
            </w:pPr>
            <w:r>
              <w:rPr>
                <w:rFonts w:ascii="Arial" w:cs="Arial" w:eastAsia="Arial" w:hAnsi="Arial"/>
                <w:sz w:val="18"/>
                <w:szCs w:val="18"/>
                <w:color w:val="auto"/>
              </w:rPr>
              <w:t>100 Vanguard Blvd.</w:t>
            </w:r>
          </w:p>
        </w:tc>
        <w:tc>
          <w:tcPr>
            <w:tcW w:w="3180" w:type="dxa"/>
            <w:vAlign w:val="bottom"/>
            <w:shd w:val="clear" w:color="auto" w:fill="DEEAF6"/>
          </w:tcPr>
          <w:p>
            <w:pPr>
              <w:spacing w:after="0"/>
              <w:rPr>
                <w:sz w:val="18"/>
                <w:szCs w:val="18"/>
                <w:color w:val="auto"/>
              </w:rPr>
            </w:pPr>
          </w:p>
        </w:tc>
        <w:tc>
          <w:tcPr>
            <w:tcW w:w="1920" w:type="dxa"/>
            <w:vAlign w:val="bottom"/>
            <w:shd w:val="clear" w:color="auto" w:fill="DEEAF6"/>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DEEAF6"/>
          </w:tcPr>
          <w:p>
            <w:pPr>
              <w:ind w:left="420"/>
              <w:spacing w:after="0"/>
              <w:rPr>
                <w:sz w:val="20"/>
                <w:szCs w:val="20"/>
                <w:color w:val="auto"/>
              </w:rPr>
            </w:pPr>
            <w:r>
              <w:rPr>
                <w:rFonts w:ascii="Arial" w:cs="Arial" w:eastAsia="Arial" w:hAnsi="Arial"/>
                <w:sz w:val="18"/>
                <w:szCs w:val="18"/>
                <w:color w:val="auto"/>
              </w:rPr>
              <w:t>Malvern, PA 19355</w:t>
            </w:r>
          </w:p>
        </w:tc>
        <w:tc>
          <w:tcPr>
            <w:tcW w:w="3180" w:type="dxa"/>
            <w:vAlign w:val="bottom"/>
            <w:shd w:val="clear" w:color="auto" w:fill="DEEAF6"/>
          </w:tcPr>
          <w:p>
            <w:pPr>
              <w:spacing w:after="0"/>
              <w:rPr>
                <w:sz w:val="21"/>
                <w:szCs w:val="21"/>
                <w:color w:val="auto"/>
              </w:rPr>
            </w:pPr>
          </w:p>
        </w:tc>
        <w:tc>
          <w:tcPr>
            <w:tcW w:w="1920" w:type="dxa"/>
            <w:vAlign w:val="bottom"/>
            <w:shd w:val="clear" w:color="auto" w:fill="DEEAF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300"/>
              <w:spacing w:after="0" w:line="216" w:lineRule="exact"/>
              <w:rPr>
                <w:sz w:val="20"/>
                <w:szCs w:val="20"/>
                <w:color w:val="auto"/>
              </w:rPr>
            </w:pPr>
            <w:r>
              <w:rPr>
                <w:rFonts w:ascii="Arial" w:cs="Arial" w:eastAsia="Arial" w:hAnsi="Arial"/>
                <w:sz w:val="18"/>
                <w:szCs w:val="18"/>
                <w:color w:val="auto"/>
              </w:rPr>
              <w:t>JPMorgan Chase &amp; Co.</w:t>
            </w:r>
            <w:r>
              <w:rPr>
                <w:rFonts w:ascii="Arial" w:cs="Arial" w:eastAsia="Arial" w:hAnsi="Arial"/>
                <w:sz w:val="24"/>
                <w:szCs w:val="24"/>
                <w:color w:val="auto"/>
                <w:vertAlign w:val="superscript"/>
              </w:rPr>
              <w:t>(4)</w:t>
            </w:r>
          </w:p>
        </w:tc>
        <w:tc>
          <w:tcPr>
            <w:tcW w:w="3180" w:type="dxa"/>
            <w:vAlign w:val="bottom"/>
          </w:tcPr>
          <w:p>
            <w:pPr>
              <w:jc w:val="center"/>
              <w:ind w:right="574"/>
              <w:spacing w:after="0"/>
              <w:rPr>
                <w:sz w:val="20"/>
                <w:szCs w:val="20"/>
                <w:color w:val="auto"/>
              </w:rPr>
            </w:pPr>
            <w:r>
              <w:rPr>
                <w:rFonts w:ascii="Arial" w:cs="Arial" w:eastAsia="Arial" w:hAnsi="Arial"/>
                <w:sz w:val="18"/>
                <w:szCs w:val="18"/>
                <w:color w:val="auto"/>
                <w:w w:val="89"/>
              </w:rPr>
              <w:t>3,794,685</w:t>
            </w:r>
          </w:p>
        </w:tc>
        <w:tc>
          <w:tcPr>
            <w:tcW w:w="1920" w:type="dxa"/>
            <w:vAlign w:val="bottom"/>
          </w:tcPr>
          <w:p>
            <w:pPr>
              <w:jc w:val="center"/>
              <w:ind w:right="413"/>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16"/>
        </w:trPr>
        <w:tc>
          <w:tcPr>
            <w:tcW w:w="6140" w:type="dxa"/>
            <w:vAlign w:val="bottom"/>
          </w:tcPr>
          <w:p>
            <w:pPr>
              <w:ind w:left="420"/>
              <w:spacing w:after="0"/>
              <w:rPr>
                <w:sz w:val="20"/>
                <w:szCs w:val="20"/>
                <w:color w:val="auto"/>
              </w:rPr>
            </w:pPr>
            <w:r>
              <w:rPr>
                <w:rFonts w:ascii="Arial" w:cs="Arial" w:eastAsia="Arial" w:hAnsi="Arial"/>
                <w:sz w:val="18"/>
                <w:szCs w:val="18"/>
                <w:color w:val="auto"/>
              </w:rPr>
              <w:t>383 Madison Avenue</w:t>
            </w:r>
          </w:p>
        </w:tc>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420"/>
              <w:spacing w:after="0"/>
              <w:rPr>
                <w:sz w:val="20"/>
                <w:szCs w:val="20"/>
                <w:color w:val="auto"/>
              </w:rPr>
            </w:pPr>
            <w:r>
              <w:rPr>
                <w:rFonts w:ascii="Arial" w:cs="Arial" w:eastAsia="Arial" w:hAnsi="Arial"/>
                <w:sz w:val="18"/>
                <w:szCs w:val="18"/>
                <w:color w:val="auto"/>
              </w:rPr>
              <w:t>New York, NY 10179</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40" w:type="dxa"/>
            <w:vAlign w:val="bottom"/>
            <w:shd w:val="clear" w:color="auto" w:fill="DEEAF6"/>
          </w:tcPr>
          <w:p>
            <w:pPr>
              <w:ind w:left="300"/>
              <w:spacing w:after="0" w:line="221" w:lineRule="exact"/>
              <w:rPr>
                <w:sz w:val="20"/>
                <w:szCs w:val="20"/>
                <w:color w:val="auto"/>
              </w:rPr>
            </w:pPr>
            <w:r>
              <w:rPr>
                <w:rFonts w:ascii="Arial" w:cs="Arial" w:eastAsia="Arial" w:hAnsi="Arial"/>
                <w:sz w:val="18"/>
                <w:szCs w:val="18"/>
                <w:color w:val="auto"/>
              </w:rPr>
              <w:t>Entities Affiliated with Allan M. Fox</w:t>
            </w:r>
            <w:r>
              <w:rPr>
                <w:rFonts w:ascii="Arial" w:cs="Arial" w:eastAsia="Arial" w:hAnsi="Arial"/>
                <w:sz w:val="24"/>
                <w:szCs w:val="24"/>
                <w:color w:val="auto"/>
                <w:vertAlign w:val="superscript"/>
              </w:rPr>
              <w:t>(5)</w:t>
            </w:r>
          </w:p>
        </w:tc>
        <w:tc>
          <w:tcPr>
            <w:tcW w:w="3180" w:type="dxa"/>
            <w:vAlign w:val="bottom"/>
            <w:shd w:val="clear" w:color="auto" w:fill="DEEAF6"/>
          </w:tcPr>
          <w:p>
            <w:pPr>
              <w:jc w:val="center"/>
              <w:ind w:right="574"/>
              <w:spacing w:after="0"/>
              <w:rPr>
                <w:sz w:val="20"/>
                <w:szCs w:val="20"/>
                <w:color w:val="auto"/>
              </w:rPr>
            </w:pPr>
            <w:r>
              <w:rPr>
                <w:rFonts w:ascii="Arial" w:cs="Arial" w:eastAsia="Arial" w:hAnsi="Arial"/>
                <w:sz w:val="18"/>
                <w:szCs w:val="18"/>
                <w:color w:val="auto"/>
                <w:w w:val="89"/>
              </w:rPr>
              <w:t>2,882,466</w:t>
            </w:r>
          </w:p>
        </w:tc>
        <w:tc>
          <w:tcPr>
            <w:tcW w:w="1920" w:type="dxa"/>
            <w:vAlign w:val="bottom"/>
            <w:shd w:val="clear" w:color="auto" w:fill="DEEAF6"/>
          </w:tcPr>
          <w:p>
            <w:pPr>
              <w:jc w:val="center"/>
              <w:ind w:right="413"/>
              <w:spacing w:after="0"/>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r>
        <w:trPr>
          <w:trHeight w:val="216"/>
        </w:trPr>
        <w:tc>
          <w:tcPr>
            <w:tcW w:w="6140" w:type="dxa"/>
            <w:vAlign w:val="bottom"/>
            <w:shd w:val="clear" w:color="auto" w:fill="DEEAF6"/>
          </w:tcPr>
          <w:p>
            <w:pPr>
              <w:ind w:left="420"/>
              <w:spacing w:after="0"/>
              <w:rPr>
                <w:sz w:val="20"/>
                <w:szCs w:val="20"/>
                <w:color w:val="auto"/>
              </w:rPr>
            </w:pPr>
            <w:r>
              <w:rPr>
                <w:rFonts w:ascii="Arial" w:cs="Arial" w:eastAsia="Arial" w:hAnsi="Arial"/>
                <w:sz w:val="18"/>
                <w:szCs w:val="18"/>
                <w:color w:val="auto"/>
              </w:rPr>
              <w:t>Bryn Mawr Trust Company</w:t>
            </w:r>
          </w:p>
        </w:tc>
        <w:tc>
          <w:tcPr>
            <w:tcW w:w="3180" w:type="dxa"/>
            <w:vAlign w:val="bottom"/>
            <w:shd w:val="clear" w:color="auto" w:fill="DEEAF6"/>
          </w:tcPr>
          <w:p>
            <w:pPr>
              <w:spacing w:after="0"/>
              <w:rPr>
                <w:sz w:val="18"/>
                <w:szCs w:val="18"/>
                <w:color w:val="auto"/>
              </w:rPr>
            </w:pPr>
          </w:p>
        </w:tc>
        <w:tc>
          <w:tcPr>
            <w:tcW w:w="1920" w:type="dxa"/>
            <w:vAlign w:val="bottom"/>
            <w:shd w:val="clear" w:color="auto" w:fill="DEEAF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DEEAF6"/>
          </w:tcPr>
          <w:p>
            <w:pPr>
              <w:ind w:left="420"/>
              <w:spacing w:after="0"/>
              <w:rPr>
                <w:sz w:val="20"/>
                <w:szCs w:val="20"/>
                <w:color w:val="auto"/>
              </w:rPr>
            </w:pPr>
            <w:r>
              <w:rPr>
                <w:rFonts w:ascii="Arial" w:cs="Arial" w:eastAsia="Arial" w:hAnsi="Arial"/>
                <w:sz w:val="18"/>
                <w:szCs w:val="18"/>
                <w:color w:val="auto"/>
              </w:rPr>
              <w:t>20 Montchanin Road</w:t>
            </w:r>
          </w:p>
        </w:tc>
        <w:tc>
          <w:tcPr>
            <w:tcW w:w="3180" w:type="dxa"/>
            <w:vAlign w:val="bottom"/>
            <w:shd w:val="clear" w:color="auto" w:fill="DEEAF6"/>
          </w:tcPr>
          <w:p>
            <w:pPr>
              <w:spacing w:after="0"/>
              <w:rPr>
                <w:sz w:val="18"/>
                <w:szCs w:val="18"/>
                <w:color w:val="auto"/>
              </w:rPr>
            </w:pPr>
          </w:p>
        </w:tc>
        <w:tc>
          <w:tcPr>
            <w:tcW w:w="1920" w:type="dxa"/>
            <w:vAlign w:val="bottom"/>
            <w:shd w:val="clear" w:color="auto" w:fill="DEEAF6"/>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DEEAF6"/>
          </w:tcPr>
          <w:p>
            <w:pPr>
              <w:ind w:left="420"/>
              <w:spacing w:after="0"/>
              <w:rPr>
                <w:sz w:val="20"/>
                <w:szCs w:val="20"/>
                <w:color w:val="auto"/>
              </w:rPr>
            </w:pPr>
            <w:r>
              <w:rPr>
                <w:rFonts w:ascii="Arial" w:cs="Arial" w:eastAsia="Arial" w:hAnsi="Arial"/>
                <w:sz w:val="18"/>
                <w:szCs w:val="18"/>
                <w:color w:val="auto"/>
              </w:rPr>
              <w:t>Greenville, DE 19807</w:t>
            </w:r>
          </w:p>
        </w:tc>
        <w:tc>
          <w:tcPr>
            <w:tcW w:w="3180" w:type="dxa"/>
            <w:vAlign w:val="bottom"/>
            <w:shd w:val="clear" w:color="auto" w:fill="DEEAF6"/>
          </w:tcPr>
          <w:p>
            <w:pPr>
              <w:spacing w:after="0"/>
              <w:rPr>
                <w:sz w:val="21"/>
                <w:szCs w:val="21"/>
                <w:color w:val="auto"/>
              </w:rPr>
            </w:pPr>
          </w:p>
        </w:tc>
        <w:tc>
          <w:tcPr>
            <w:tcW w:w="1920" w:type="dxa"/>
            <w:vAlign w:val="bottom"/>
            <w:shd w:val="clear" w:color="auto" w:fill="DEEAF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300"/>
              <w:spacing w:after="0" w:line="216"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4"/>
                <w:szCs w:val="24"/>
                <w:color w:val="auto"/>
                <w:vertAlign w:val="superscript"/>
              </w:rPr>
              <w:t>(6)</w:t>
            </w:r>
          </w:p>
        </w:tc>
        <w:tc>
          <w:tcPr>
            <w:tcW w:w="3180" w:type="dxa"/>
            <w:vAlign w:val="bottom"/>
          </w:tcPr>
          <w:p>
            <w:pPr>
              <w:jc w:val="center"/>
              <w:ind w:right="574"/>
              <w:spacing w:after="0"/>
              <w:rPr>
                <w:sz w:val="20"/>
                <w:szCs w:val="20"/>
                <w:color w:val="auto"/>
              </w:rPr>
            </w:pPr>
            <w:r>
              <w:rPr>
                <w:rFonts w:ascii="Arial" w:cs="Arial" w:eastAsia="Arial" w:hAnsi="Arial"/>
                <w:sz w:val="18"/>
                <w:szCs w:val="18"/>
                <w:color w:val="auto"/>
                <w:w w:val="89"/>
              </w:rPr>
              <w:t>2,716,189</w:t>
            </w:r>
          </w:p>
        </w:tc>
        <w:tc>
          <w:tcPr>
            <w:tcW w:w="1920" w:type="dxa"/>
            <w:vAlign w:val="bottom"/>
          </w:tcPr>
          <w:p>
            <w:pPr>
              <w:jc w:val="center"/>
              <w:ind w:right="413"/>
              <w:spacing w:after="0"/>
              <w:rPr>
                <w:sz w:val="20"/>
                <w:szCs w:val="20"/>
                <w:color w:val="auto"/>
              </w:rPr>
            </w:pPr>
            <w:r>
              <w:rPr>
                <w:rFonts w:ascii="Arial" w:cs="Arial" w:eastAsia="Arial" w:hAnsi="Arial"/>
                <w:sz w:val="18"/>
                <w:szCs w:val="18"/>
                <w:color w:val="auto"/>
                <w:w w:val="92"/>
              </w:rPr>
              <w:t>6.2%</w:t>
            </w:r>
          </w:p>
        </w:tc>
        <w:tc>
          <w:tcPr>
            <w:tcW w:w="0" w:type="dxa"/>
            <w:vAlign w:val="bottom"/>
          </w:tcPr>
          <w:p>
            <w:pPr>
              <w:spacing w:after="0"/>
              <w:rPr>
                <w:sz w:val="1"/>
                <w:szCs w:val="1"/>
                <w:color w:val="auto"/>
              </w:rPr>
            </w:pPr>
          </w:p>
        </w:tc>
      </w:tr>
      <w:tr>
        <w:trPr>
          <w:trHeight w:val="216"/>
        </w:trPr>
        <w:tc>
          <w:tcPr>
            <w:tcW w:w="6140" w:type="dxa"/>
            <w:vAlign w:val="bottom"/>
          </w:tcPr>
          <w:p>
            <w:pPr>
              <w:ind w:left="420"/>
              <w:spacing w:after="0"/>
              <w:rPr>
                <w:sz w:val="20"/>
                <w:szCs w:val="20"/>
                <w:color w:val="auto"/>
              </w:rPr>
            </w:pPr>
            <w:r>
              <w:rPr>
                <w:rFonts w:ascii="Arial" w:cs="Arial" w:eastAsia="Arial" w:hAnsi="Arial"/>
                <w:sz w:val="18"/>
                <w:szCs w:val="18"/>
                <w:color w:val="auto"/>
              </w:rPr>
              <w:t>State Street Financial Center</w:t>
            </w:r>
          </w:p>
        </w:tc>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20"/>
              <w:spacing w:after="0"/>
              <w:rPr>
                <w:sz w:val="20"/>
                <w:szCs w:val="20"/>
                <w:color w:val="auto"/>
              </w:rPr>
            </w:pPr>
            <w:r>
              <w:rPr>
                <w:rFonts w:ascii="Arial" w:cs="Arial" w:eastAsia="Arial" w:hAnsi="Arial"/>
                <w:sz w:val="18"/>
                <w:szCs w:val="18"/>
                <w:color w:val="auto"/>
              </w:rPr>
              <w:t>1 Lincoln Street</w:t>
            </w:r>
          </w:p>
        </w:tc>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420"/>
              <w:spacing w:after="0"/>
              <w:rPr>
                <w:sz w:val="20"/>
                <w:szCs w:val="20"/>
                <w:color w:val="auto"/>
              </w:rPr>
            </w:pPr>
            <w:r>
              <w:rPr>
                <w:rFonts w:ascii="Arial" w:cs="Arial" w:eastAsia="Arial" w:hAnsi="Arial"/>
                <w:sz w:val="18"/>
                <w:szCs w:val="18"/>
                <w:color w:val="auto"/>
              </w:rPr>
              <w:t>Boston, MA 02111</w:t>
            </w: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6140" w:type="dxa"/>
            <w:vAlign w:val="bottom"/>
          </w:tcPr>
          <w:p>
            <w:pPr>
              <w:spacing w:after="0"/>
              <w:rPr>
                <w:sz w:val="24"/>
                <w:szCs w:val="24"/>
                <w:color w:val="auto"/>
              </w:rPr>
            </w:pPr>
          </w:p>
        </w:tc>
        <w:tc>
          <w:tcPr>
            <w:tcW w:w="3180" w:type="dxa"/>
            <w:vAlign w:val="bottom"/>
          </w:tcPr>
          <w:p>
            <w:pPr>
              <w:jc w:val="center"/>
              <w:ind w:left="1574"/>
              <w:spacing w:after="0"/>
              <w:rPr>
                <w:sz w:val="20"/>
                <w:szCs w:val="20"/>
                <w:color w:val="auto"/>
              </w:rPr>
            </w:pPr>
            <w:r>
              <w:rPr>
                <w:rFonts w:ascii="Arial" w:cs="Arial" w:eastAsia="Arial" w:hAnsi="Arial"/>
                <w:sz w:val="14"/>
                <w:szCs w:val="14"/>
                <w:b w:val="1"/>
                <w:bCs w:val="1"/>
                <w:color w:val="auto"/>
                <w:w w:val="92"/>
              </w:rPr>
              <w:t>Number of Shares</w:t>
            </w:r>
          </w:p>
        </w:tc>
        <w:tc>
          <w:tcPr>
            <w:tcW w:w="1920" w:type="dxa"/>
            <w:vAlign w:val="bottom"/>
            <w:vMerge w:val="restart"/>
          </w:tcPr>
          <w:p>
            <w:pPr>
              <w:jc w:val="center"/>
              <w:ind w:left="173"/>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44"/>
        </w:trPr>
        <w:tc>
          <w:tcPr>
            <w:tcW w:w="6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Name and Address of Beneficial Owner</w:t>
            </w:r>
          </w:p>
        </w:tc>
        <w:tc>
          <w:tcPr>
            <w:tcW w:w="3180" w:type="dxa"/>
            <w:vAlign w:val="bottom"/>
          </w:tcPr>
          <w:p>
            <w:pPr>
              <w:jc w:val="center"/>
              <w:ind w:left="1574"/>
              <w:spacing w:after="0" w:line="144" w:lineRule="exact"/>
              <w:rPr>
                <w:sz w:val="20"/>
                <w:szCs w:val="20"/>
                <w:color w:val="auto"/>
              </w:rPr>
            </w:pPr>
            <w:r>
              <w:rPr>
                <w:rFonts w:ascii="Arial" w:cs="Arial" w:eastAsia="Arial" w:hAnsi="Arial"/>
                <w:sz w:val="14"/>
                <w:szCs w:val="14"/>
                <w:b w:val="1"/>
                <w:bCs w:val="1"/>
                <w:color w:val="auto"/>
                <w:w w:val="92"/>
              </w:rPr>
              <w:t>Beneficially</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40" w:type="dxa"/>
            <w:vAlign w:val="bottom"/>
            <w:tcBorders>
              <w:bottom w:val="single" w:sz="8" w:color="auto"/>
            </w:tcBorders>
            <w:vMerge w:val="continue"/>
          </w:tcPr>
          <w:p>
            <w:pPr>
              <w:spacing w:after="0"/>
              <w:rPr>
                <w:sz w:val="16"/>
                <w:szCs w:val="16"/>
                <w:color w:val="auto"/>
              </w:rPr>
            </w:pPr>
          </w:p>
        </w:tc>
        <w:tc>
          <w:tcPr>
            <w:tcW w:w="3180" w:type="dxa"/>
            <w:vAlign w:val="bottom"/>
            <w:tcBorders>
              <w:bottom w:val="single" w:sz="8" w:color="auto"/>
            </w:tcBorders>
          </w:tcPr>
          <w:p>
            <w:pPr>
              <w:jc w:val="center"/>
              <w:ind w:left="1594"/>
              <w:spacing w:after="0" w:line="189" w:lineRule="exact"/>
              <w:rPr>
                <w:sz w:val="20"/>
                <w:szCs w:val="20"/>
                <w:color w:val="auto"/>
              </w:rPr>
            </w:pPr>
            <w:r>
              <w:rPr>
                <w:rFonts w:ascii="Arial" w:cs="Arial" w:eastAsia="Arial" w:hAnsi="Arial"/>
                <w:sz w:val="14"/>
                <w:szCs w:val="14"/>
                <w:b w:val="1"/>
                <w:bCs w:val="1"/>
                <w:color w:val="auto"/>
                <w:w w:val="86"/>
              </w:rPr>
              <w:t>Owned</w:t>
            </w:r>
            <w:r>
              <w:rPr>
                <w:rFonts w:ascii="Arial" w:cs="Arial" w:eastAsia="Arial" w:hAnsi="Arial"/>
                <w:sz w:val="19"/>
                <w:szCs w:val="19"/>
                <w:b w:val="1"/>
                <w:bCs w:val="1"/>
                <w:color w:val="auto"/>
                <w:w w:val="86"/>
                <w:vertAlign w:val="superscript"/>
              </w:rPr>
              <w:t>(1)</w:t>
            </w:r>
          </w:p>
        </w:tc>
        <w:tc>
          <w:tcPr>
            <w:tcW w:w="1920" w:type="dxa"/>
            <w:vAlign w:val="bottom"/>
            <w:tcBorders>
              <w:bottom w:val="single" w:sz="8" w:color="auto"/>
            </w:tcBorders>
          </w:tcPr>
          <w:p>
            <w:pPr>
              <w:jc w:val="center"/>
              <w:ind w:left="173"/>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37"/>
        </w:trPr>
        <w:tc>
          <w:tcPr>
            <w:tcW w:w="6140" w:type="dxa"/>
            <w:vAlign w:val="bottom"/>
            <w:shd w:val="clear" w:color="auto" w:fill="DEEAF6"/>
          </w:tcPr>
          <w:p>
            <w:pPr>
              <w:ind w:left="120"/>
              <w:spacing w:after="0"/>
              <w:rPr>
                <w:sz w:val="20"/>
                <w:szCs w:val="20"/>
                <w:color w:val="auto"/>
              </w:rPr>
            </w:pPr>
            <w:r>
              <w:rPr>
                <w:rFonts w:ascii="Arial" w:cs="Arial" w:eastAsia="Arial" w:hAnsi="Arial"/>
                <w:sz w:val="18"/>
                <w:szCs w:val="18"/>
                <w:b w:val="1"/>
                <w:bCs w:val="1"/>
                <w:color w:val="auto"/>
              </w:rPr>
              <w:t>Directors (Including Nominees) and Named Executive Officers:</w:t>
            </w:r>
          </w:p>
        </w:tc>
        <w:tc>
          <w:tcPr>
            <w:tcW w:w="3180" w:type="dxa"/>
            <w:vAlign w:val="bottom"/>
            <w:shd w:val="clear" w:color="auto" w:fill="DEEAF6"/>
          </w:tcPr>
          <w:p>
            <w:pPr>
              <w:spacing w:after="0"/>
              <w:rPr>
                <w:sz w:val="20"/>
                <w:szCs w:val="20"/>
                <w:color w:val="auto"/>
              </w:rPr>
            </w:pPr>
          </w:p>
        </w:tc>
        <w:tc>
          <w:tcPr>
            <w:tcW w:w="1920" w:type="dxa"/>
            <w:vAlign w:val="bottom"/>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Jean Bennett, M.D., Ph.D.</w:t>
            </w:r>
            <w:r>
              <w:rPr>
                <w:rFonts w:ascii="Arial" w:cs="Arial" w:eastAsia="Arial" w:hAnsi="Arial"/>
                <w:sz w:val="24"/>
                <w:szCs w:val="24"/>
                <w:color w:val="auto"/>
                <w:vertAlign w:val="superscript"/>
              </w:rPr>
              <w:t>(7)</w:t>
            </w:r>
          </w:p>
        </w:tc>
        <w:tc>
          <w:tcPr>
            <w:tcW w:w="3180" w:type="dxa"/>
            <w:vAlign w:val="bottom"/>
          </w:tcPr>
          <w:p>
            <w:pPr>
              <w:jc w:val="center"/>
              <w:ind w:left="1594"/>
              <w:spacing w:after="0"/>
              <w:rPr>
                <w:sz w:val="20"/>
                <w:szCs w:val="20"/>
                <w:color w:val="auto"/>
              </w:rPr>
            </w:pPr>
            <w:r>
              <w:rPr>
                <w:rFonts w:ascii="Arial" w:cs="Arial" w:eastAsia="Arial" w:hAnsi="Arial"/>
                <w:sz w:val="18"/>
                <w:szCs w:val="18"/>
                <w:color w:val="auto"/>
                <w:w w:val="90"/>
              </w:rPr>
              <w:t>28,168</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Olivier Danos, Ph.D.</w:t>
            </w:r>
            <w:r>
              <w:rPr>
                <w:rFonts w:ascii="Arial" w:cs="Arial" w:eastAsia="Arial" w:hAnsi="Arial"/>
                <w:sz w:val="24"/>
                <w:szCs w:val="24"/>
                <w:color w:val="auto"/>
                <w:vertAlign w:val="superscript"/>
              </w:rPr>
              <w:t>(8)</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89"/>
              </w:rPr>
              <w:t>263,331</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Allan M. Fox</w:t>
            </w:r>
            <w:r>
              <w:rPr>
                <w:rFonts w:ascii="Arial" w:cs="Arial" w:eastAsia="Arial" w:hAnsi="Arial"/>
                <w:sz w:val="24"/>
                <w:szCs w:val="24"/>
                <w:color w:val="auto"/>
                <w:vertAlign w:val="superscript"/>
              </w:rPr>
              <w:t>(9)</w:t>
            </w:r>
          </w:p>
        </w:tc>
        <w:tc>
          <w:tcPr>
            <w:tcW w:w="3180" w:type="dxa"/>
            <w:vAlign w:val="bottom"/>
          </w:tcPr>
          <w:p>
            <w:pPr>
              <w:jc w:val="center"/>
              <w:ind w:left="1574"/>
              <w:spacing w:after="0"/>
              <w:rPr>
                <w:sz w:val="20"/>
                <w:szCs w:val="20"/>
                <w:color w:val="auto"/>
              </w:rPr>
            </w:pPr>
            <w:r>
              <w:rPr>
                <w:rFonts w:ascii="Arial" w:cs="Arial" w:eastAsia="Arial" w:hAnsi="Arial"/>
                <w:sz w:val="18"/>
                <w:szCs w:val="18"/>
                <w:color w:val="auto"/>
                <w:w w:val="89"/>
              </w:rPr>
              <w:t>2,992,023</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w w:val="92"/>
              </w:rPr>
              <w:t>6.9%</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Alexandra Glucksmann, Ph.D.</w:t>
            </w:r>
            <w:r>
              <w:rPr>
                <w:rFonts w:ascii="Arial" w:cs="Arial" w:eastAsia="Arial" w:hAnsi="Arial"/>
                <w:sz w:val="24"/>
                <w:szCs w:val="24"/>
                <w:color w:val="auto"/>
                <w:vertAlign w:val="superscript"/>
              </w:rPr>
              <w:t>(10)</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90"/>
              </w:rPr>
              <w:t>72,057</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A.N. “Jerry” Karabelas, Ph.D.</w:t>
            </w:r>
            <w:r>
              <w:rPr>
                <w:rFonts w:ascii="Arial" w:cs="Arial" w:eastAsia="Arial" w:hAnsi="Arial"/>
                <w:sz w:val="24"/>
                <w:szCs w:val="24"/>
                <w:color w:val="auto"/>
                <w:vertAlign w:val="superscript"/>
              </w:rPr>
              <w:t>(11)</w:t>
            </w:r>
          </w:p>
        </w:tc>
        <w:tc>
          <w:tcPr>
            <w:tcW w:w="3180" w:type="dxa"/>
            <w:vAlign w:val="bottom"/>
          </w:tcPr>
          <w:p>
            <w:pPr>
              <w:jc w:val="center"/>
              <w:ind w:left="1594"/>
              <w:spacing w:after="0"/>
              <w:rPr>
                <w:sz w:val="20"/>
                <w:szCs w:val="20"/>
                <w:color w:val="auto"/>
              </w:rPr>
            </w:pPr>
            <w:r>
              <w:rPr>
                <w:rFonts w:ascii="Arial" w:cs="Arial" w:eastAsia="Arial" w:hAnsi="Arial"/>
                <w:sz w:val="18"/>
                <w:szCs w:val="18"/>
                <w:color w:val="auto"/>
                <w:w w:val="89"/>
              </w:rPr>
              <w:t>133,932</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George Migausky</w:t>
            </w:r>
            <w:r>
              <w:rPr>
                <w:rFonts w:ascii="Arial" w:cs="Arial" w:eastAsia="Arial" w:hAnsi="Arial"/>
                <w:sz w:val="24"/>
                <w:szCs w:val="24"/>
                <w:color w:val="auto"/>
                <w:vertAlign w:val="superscript"/>
              </w:rPr>
              <w:t>(12)</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90"/>
              </w:rPr>
              <w:t>28,168</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Kenneth T. Mills</w:t>
            </w:r>
            <w:r>
              <w:rPr>
                <w:rFonts w:ascii="Arial" w:cs="Arial" w:eastAsia="Arial" w:hAnsi="Arial"/>
                <w:sz w:val="24"/>
                <w:szCs w:val="24"/>
                <w:color w:val="auto"/>
                <w:vertAlign w:val="superscript"/>
              </w:rPr>
              <w:t>(13)</w:t>
            </w:r>
          </w:p>
        </w:tc>
        <w:tc>
          <w:tcPr>
            <w:tcW w:w="3180" w:type="dxa"/>
            <w:vAlign w:val="bottom"/>
          </w:tcPr>
          <w:p>
            <w:pPr>
              <w:jc w:val="center"/>
              <w:ind w:left="1574"/>
              <w:spacing w:after="0"/>
              <w:rPr>
                <w:sz w:val="20"/>
                <w:szCs w:val="20"/>
                <w:color w:val="auto"/>
              </w:rPr>
            </w:pPr>
            <w:r>
              <w:rPr>
                <w:rFonts w:ascii="Arial" w:cs="Arial" w:eastAsia="Arial" w:hAnsi="Arial"/>
                <w:sz w:val="18"/>
                <w:szCs w:val="18"/>
                <w:color w:val="auto"/>
                <w:w w:val="89"/>
              </w:rPr>
              <w:t>1,624,735</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Stephen Pakola, M.D.</w:t>
            </w:r>
            <w:r>
              <w:rPr>
                <w:rFonts w:ascii="Arial" w:cs="Arial" w:eastAsia="Arial" w:hAnsi="Arial"/>
                <w:sz w:val="24"/>
                <w:szCs w:val="24"/>
                <w:color w:val="auto"/>
                <w:vertAlign w:val="superscript"/>
              </w:rPr>
              <w:t>(14)</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89"/>
              </w:rPr>
              <w:t>174,547</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Curran Simpson</w:t>
            </w:r>
            <w:r>
              <w:rPr>
                <w:rFonts w:ascii="Arial" w:cs="Arial" w:eastAsia="Arial" w:hAnsi="Arial"/>
                <w:sz w:val="24"/>
                <w:szCs w:val="24"/>
                <w:color w:val="auto"/>
                <w:vertAlign w:val="superscript"/>
              </w:rPr>
              <w:t>(15)</w:t>
            </w:r>
          </w:p>
        </w:tc>
        <w:tc>
          <w:tcPr>
            <w:tcW w:w="3180" w:type="dxa"/>
            <w:vAlign w:val="bottom"/>
          </w:tcPr>
          <w:p>
            <w:pPr>
              <w:jc w:val="center"/>
              <w:ind w:left="1594"/>
              <w:spacing w:after="0"/>
              <w:rPr>
                <w:sz w:val="20"/>
                <w:szCs w:val="20"/>
                <w:color w:val="auto"/>
              </w:rPr>
            </w:pPr>
            <w:r>
              <w:rPr>
                <w:rFonts w:ascii="Arial" w:cs="Arial" w:eastAsia="Arial" w:hAnsi="Arial"/>
                <w:sz w:val="18"/>
                <w:szCs w:val="18"/>
                <w:color w:val="auto"/>
                <w:w w:val="89"/>
              </w:rPr>
              <w:t>165,910</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David C. Stump, M.D.</w:t>
            </w:r>
            <w:r>
              <w:rPr>
                <w:rFonts w:ascii="Arial" w:cs="Arial" w:eastAsia="Arial" w:hAnsi="Arial"/>
                <w:sz w:val="24"/>
                <w:szCs w:val="24"/>
                <w:color w:val="auto"/>
                <w:vertAlign w:val="superscript"/>
              </w:rPr>
              <w:t>(16)</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89"/>
              </w:rPr>
              <w:t>109,557</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Daniel Tassé</w:t>
            </w:r>
            <w:r>
              <w:rPr>
                <w:rFonts w:ascii="Arial" w:cs="Arial" w:eastAsia="Arial" w:hAnsi="Arial"/>
                <w:sz w:val="24"/>
                <w:szCs w:val="24"/>
                <w:color w:val="auto"/>
                <w:vertAlign w:val="superscript"/>
              </w:rPr>
              <w:t>(17)</w:t>
            </w:r>
          </w:p>
        </w:tc>
        <w:tc>
          <w:tcPr>
            <w:tcW w:w="3180" w:type="dxa"/>
            <w:vAlign w:val="bottom"/>
          </w:tcPr>
          <w:p>
            <w:pPr>
              <w:jc w:val="center"/>
              <w:ind w:left="1594"/>
              <w:spacing w:after="0"/>
              <w:rPr>
                <w:sz w:val="20"/>
                <w:szCs w:val="20"/>
                <w:color w:val="auto"/>
              </w:rPr>
            </w:pPr>
            <w:r>
              <w:rPr>
                <w:rFonts w:ascii="Arial" w:cs="Arial" w:eastAsia="Arial" w:hAnsi="Arial"/>
                <w:sz w:val="18"/>
                <w:szCs w:val="18"/>
                <w:color w:val="auto"/>
                <w:w w:val="90"/>
              </w:rPr>
              <w:t>97,057</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rPr>
              <w:t>Vit Vasista</w:t>
            </w:r>
            <w:r>
              <w:rPr>
                <w:rFonts w:ascii="Arial" w:cs="Arial" w:eastAsia="Arial" w:hAnsi="Arial"/>
                <w:sz w:val="24"/>
                <w:szCs w:val="24"/>
                <w:color w:val="auto"/>
                <w:vertAlign w:val="superscript"/>
              </w:rPr>
              <w:t>(18)</w:t>
            </w:r>
          </w:p>
        </w:tc>
        <w:tc>
          <w:tcPr>
            <w:tcW w:w="3180" w:type="dxa"/>
            <w:vAlign w:val="bottom"/>
            <w:shd w:val="clear" w:color="auto" w:fill="DEEAF6"/>
          </w:tcPr>
          <w:p>
            <w:pPr>
              <w:jc w:val="center"/>
              <w:ind w:left="1594"/>
              <w:spacing w:after="0"/>
              <w:rPr>
                <w:sz w:val="20"/>
                <w:szCs w:val="20"/>
                <w:color w:val="auto"/>
              </w:rPr>
            </w:pPr>
            <w:r>
              <w:rPr>
                <w:rFonts w:ascii="Arial" w:cs="Arial" w:eastAsia="Arial" w:hAnsi="Arial"/>
                <w:sz w:val="18"/>
                <w:szCs w:val="18"/>
                <w:color w:val="auto"/>
                <w:w w:val="89"/>
              </w:rPr>
              <w:t>420,933</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line="243" w:lineRule="exact"/>
              <w:rPr>
                <w:sz w:val="20"/>
                <w:szCs w:val="20"/>
                <w:color w:val="auto"/>
              </w:rPr>
            </w:pPr>
            <w:r>
              <w:rPr>
                <w:rFonts w:ascii="Arial" w:cs="Arial" w:eastAsia="Arial" w:hAnsi="Arial"/>
                <w:sz w:val="18"/>
                <w:szCs w:val="18"/>
                <w:color w:val="auto"/>
              </w:rPr>
              <w:t>Jennifer Zachary</w:t>
            </w:r>
            <w:r>
              <w:rPr>
                <w:rFonts w:ascii="Arial" w:cs="Arial" w:eastAsia="Arial" w:hAnsi="Arial"/>
                <w:sz w:val="24"/>
                <w:szCs w:val="24"/>
                <w:color w:val="auto"/>
                <w:vertAlign w:val="superscript"/>
              </w:rPr>
              <w:t>(19)</w:t>
            </w:r>
          </w:p>
        </w:tc>
        <w:tc>
          <w:tcPr>
            <w:tcW w:w="3180" w:type="dxa"/>
            <w:vAlign w:val="bottom"/>
          </w:tcPr>
          <w:p>
            <w:pPr>
              <w:jc w:val="center"/>
              <w:ind w:left="1594"/>
              <w:spacing w:after="0"/>
              <w:rPr>
                <w:sz w:val="20"/>
                <w:szCs w:val="20"/>
                <w:color w:val="auto"/>
              </w:rPr>
            </w:pPr>
            <w:r>
              <w:rPr>
                <w:rFonts w:ascii="Arial" w:cs="Arial" w:eastAsia="Arial" w:hAnsi="Arial"/>
                <w:sz w:val="18"/>
                <w:szCs w:val="18"/>
                <w:color w:val="auto"/>
                <w:w w:val="90"/>
              </w:rPr>
              <w:t>11,094</w:t>
            </w:r>
          </w:p>
        </w:tc>
        <w:tc>
          <w:tcPr>
            <w:tcW w:w="192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EEAF6"/>
          </w:tcPr>
          <w:p>
            <w:pPr>
              <w:ind w:left="300"/>
              <w:spacing w:after="0" w:line="243" w:lineRule="exact"/>
              <w:rPr>
                <w:sz w:val="20"/>
                <w:szCs w:val="20"/>
                <w:color w:val="auto"/>
              </w:rPr>
            </w:pPr>
            <w:r>
              <w:rPr>
                <w:rFonts w:ascii="Arial" w:cs="Arial" w:eastAsia="Arial" w:hAnsi="Arial"/>
                <w:sz w:val="18"/>
                <w:szCs w:val="18"/>
                <w:color w:val="auto"/>
                <w:w w:val="99"/>
              </w:rPr>
              <w:t>All directors, nominees and executive officers as a group (14 persons)</w:t>
            </w:r>
            <w:r>
              <w:rPr>
                <w:rFonts w:ascii="Arial" w:cs="Arial" w:eastAsia="Arial" w:hAnsi="Arial"/>
                <w:sz w:val="24"/>
                <w:szCs w:val="24"/>
                <w:color w:val="auto"/>
                <w:w w:val="99"/>
                <w:vertAlign w:val="superscript"/>
              </w:rPr>
              <w:t>(20)</w:t>
            </w:r>
          </w:p>
        </w:tc>
        <w:tc>
          <w:tcPr>
            <w:tcW w:w="3180" w:type="dxa"/>
            <w:vAlign w:val="bottom"/>
            <w:shd w:val="clear" w:color="auto" w:fill="DEEAF6"/>
          </w:tcPr>
          <w:p>
            <w:pPr>
              <w:jc w:val="center"/>
              <w:ind w:left="1574"/>
              <w:spacing w:after="0"/>
              <w:rPr>
                <w:sz w:val="20"/>
                <w:szCs w:val="20"/>
                <w:color w:val="auto"/>
              </w:rPr>
            </w:pPr>
            <w:r>
              <w:rPr>
                <w:rFonts w:ascii="Arial" w:cs="Arial" w:eastAsia="Arial" w:hAnsi="Arial"/>
                <w:sz w:val="18"/>
                <w:szCs w:val="18"/>
                <w:color w:val="auto"/>
                <w:w w:val="89"/>
              </w:rPr>
              <w:t>6,316,488</w:t>
            </w:r>
          </w:p>
        </w:tc>
        <w:tc>
          <w:tcPr>
            <w:tcW w:w="1920" w:type="dxa"/>
            <w:vAlign w:val="bottom"/>
            <w:shd w:val="clear" w:color="auto" w:fill="DEEAF6"/>
          </w:tcPr>
          <w:p>
            <w:pPr>
              <w:jc w:val="center"/>
              <w:ind w:left="173"/>
              <w:spacing w:after="0"/>
              <w:rPr>
                <w:sz w:val="20"/>
                <w:szCs w:val="20"/>
                <w:color w:val="auto"/>
              </w:rPr>
            </w:pPr>
            <w:r>
              <w:rPr>
                <w:rFonts w:ascii="Arial" w:cs="Arial" w:eastAsia="Arial" w:hAnsi="Arial"/>
                <w:sz w:val="18"/>
                <w:szCs w:val="18"/>
                <w:color w:val="auto"/>
                <w:w w:val="90"/>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5"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common stock.</w:t>
      </w:r>
    </w:p>
    <w:p>
      <w:pPr>
        <w:spacing w:after="0" w:line="23" w:lineRule="exact"/>
        <w:rPr>
          <w:sz w:val="20"/>
          <w:szCs w:val="20"/>
          <w:color w:val="auto"/>
        </w:rPr>
      </w:pPr>
    </w:p>
    <w:p>
      <w:pPr>
        <w:ind w:left="760" w:right="60" w:hanging="752"/>
        <w:spacing w:after="0" w:line="260"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indicated otherwise, all persons have represented to the Company that they exercise sole voting power and sole investment power with respect to their shares.</w:t>
      </w:r>
    </w:p>
    <w:p>
      <w:pPr>
        <w:sectPr>
          <w:pgSz w:w="11900" w:h="16838" w:orient="portrait"/>
          <w:cols w:equalWidth="0" w:num="1">
            <w:col w:w="11240"/>
          </w:cols>
          <w:pgMar w:left="320" w:top="337"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ind w:left="752" w:right="60" w:hanging="752"/>
        <w:spacing w:after="0" w:line="285" w:lineRule="auto"/>
        <w:tabs>
          <w:tab w:leader="none" w:pos="7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solely on Amendment No. 8 to the Schedule 13G filed with the SEC on January 23, 2023 by BlackRock, Inc. (“BlackRock”). The interest of iShares Core S&amp;P Small-Cap ETF in the common stock of the Company is more than five percent of the total outstanding shares of common stock of the Company. BlackRock Fund Advisors, a subsidiary of BlackRock, beneficially owns five percent or greater of the total outstanding shares of common stock of the Company. BlackRock reported having sole voting power with respect to 6,577,207 shares, shared voting power with respect to 0 shares, sole investment power with respect to 6,686,350 shares and shared investment power with respect to 0 shares.</w:t>
      </w:r>
    </w:p>
    <w:p>
      <w:pPr>
        <w:spacing w:after="0" w:line="1" w:lineRule="exact"/>
        <w:rPr>
          <w:rFonts w:ascii="Arial" w:cs="Arial" w:eastAsia="Arial" w:hAnsi="Arial"/>
          <w:sz w:val="16"/>
          <w:szCs w:val="16"/>
          <w:color w:val="auto"/>
        </w:rPr>
      </w:pPr>
    </w:p>
    <w:p>
      <w:pPr>
        <w:ind w:left="752" w:right="220" w:hanging="752"/>
        <w:spacing w:after="0" w:line="265"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solely on Amendment No. 4 to the Schedule 13G filed with the SEC on February 9, 2023 by The Vanguard Group, Inc. (“The Vanguard Group”). The Vanguard Group reported having sole voting power with respect to 0 shares, shared voting power with respect to 26,179 shares, sole investment power with respect to 4,209,176 shares and shared investment power with respect to 63,318 shares.</w:t>
      </w:r>
    </w:p>
    <w:p>
      <w:pPr>
        <w:ind w:left="752" w:hanging="752"/>
        <w:spacing w:after="0" w:line="265"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solely on Amendment No. 3 to the Schedule 13G filed with the SEC on January 27, 2023 by JPMorgan Chase &amp; Co. (“JPMorgan Chase”). JPMorgan Chase reported having sole voting power with respect to 3,522,304 shares, shared voting power with respect to 0 shares, sole investment power with respect to 3,794,477 shares and shared investment power with respect to 0 shares.</w:t>
      </w:r>
    </w:p>
    <w:p>
      <w:pPr>
        <w:ind w:left="752" w:right="100" w:hanging="752"/>
        <w:spacing w:after="0" w:line="265"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Entities include AMF Family Gift Trust LLC, AMF Gift Trust LLC, HBF Gift Trust LLC and Quaker Gray LLC (collectively, the “LLCs”). Mr. Fox maintains voting and investment control over the shares held by the LLCs in his capacity as manager of the LLCs.</w:t>
      </w:r>
    </w:p>
    <w:p>
      <w:pPr>
        <w:ind w:left="752" w:right="320" w:hanging="752"/>
        <w:spacing w:after="0" w:line="281" w:lineRule="auto"/>
        <w:tabs>
          <w:tab w:leader="none" w:pos="7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solely on Amendment No. 4 to the Schedule 13G filed with the SEC on February 3, 2023 by State Street Corporation and certain of its subsidiaries (collectively, “State Street”). State Street reported having sole voting power with respect to 0 shares, shared voting power with respect to 2,635,396 shares, sole investment power with respect to 0 shares and shared investment power with respect to 2,716,189 shares.</w:t>
      </w:r>
    </w:p>
    <w:p>
      <w:pPr>
        <w:spacing w:after="0" w:line="1" w:lineRule="exact"/>
        <w:rPr>
          <w:rFonts w:ascii="Arial" w:cs="Arial" w:eastAsia="Arial" w:hAnsi="Arial"/>
          <w:sz w:val="16"/>
          <w:szCs w:val="16"/>
          <w:color w:val="auto"/>
        </w:rPr>
      </w:pPr>
    </w:p>
    <w:p>
      <w:pPr>
        <w:ind w:left="752" w:right="14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25,158 shares of common stock that were exercisable as of the Record Date or may be exercised within 60 days after the Record Date and 3,010 RSUs which will vest within 60 days after the Record Date.</w:t>
      </w:r>
    </w:p>
    <w:p>
      <w:pPr>
        <w:ind w:left="752" w:right="2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249,408 shares of common stock that were exercisable as of the Record Date or may be exercised within 60 days after the Record Date.</w:t>
      </w:r>
    </w:p>
    <w:p>
      <w:pPr>
        <w:jc w:val="both"/>
        <w:ind w:left="752" w:right="2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 footnote 5 above for securities ownership information relating to Mr. Fox. Includes options to purchase 106,547 shares of common stock that were exercisable as of the Record Date or may be exercised within 60 days after the Record Date and 3,010 RSUs which will vest within 60 days after the Record Date.</w:t>
      </w:r>
    </w:p>
    <w:p>
      <w:pPr>
        <w:spacing w:after="0" w:line="1" w:lineRule="exact"/>
        <w:rPr>
          <w:rFonts w:ascii="Arial" w:cs="Arial" w:eastAsia="Arial" w:hAnsi="Arial"/>
          <w:sz w:val="18"/>
          <w:szCs w:val="18"/>
          <w:color w:val="auto"/>
        </w:rPr>
      </w:pPr>
    </w:p>
    <w:p>
      <w:pPr>
        <w:ind w:left="752" w:right="14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69,047 shares of common stock that were exercisable as of the Record Date or may be exercised within 60 days after the Record Date and 3,010 RSUs which will vest within 60 days after the Record Date.</w:t>
      </w:r>
    </w:p>
    <w:p>
      <w:pPr>
        <w:ind w:left="752" w:right="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130,922 shares of common stock that were exercisable as of the Record Date or may be exercised within 60 days after the Record Date and 3,010 RSUs which will vest within 60 days after the Record Date.</w:t>
      </w:r>
    </w:p>
    <w:p>
      <w:pPr>
        <w:ind w:left="752" w:right="14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25,158 shares of common stock that were exercisable as of the Record Date or may be exercised within 60 days after the Record Date and 3,010 RSUs which will vest within 60 days after the Record Date.</w:t>
      </w:r>
    </w:p>
    <w:p>
      <w:pPr>
        <w:ind w:left="752" w:right="12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1,371,538 shares of common stock that were exercisable as of the Record Date or may be exercised within 60 days after the Record Date.</w:t>
      </w:r>
    </w:p>
    <w:p>
      <w:pPr>
        <w:ind w:left="752" w:right="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174,547 shares of common stock that were exercisable as of the Record Date or may be exercised within 60 days after the Record Date.</w:t>
      </w:r>
    </w:p>
    <w:p>
      <w:pPr>
        <w:ind w:left="752" w:right="2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155,795 shares of common stock that were exercisable as of the Record Date or may be exercised within 60 days after the Record Date.</w:t>
      </w:r>
    </w:p>
    <w:p>
      <w:pPr>
        <w:ind w:left="752" w:right="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106,547 shares of common stock that were exercisable as of the Record Date or may be exercised within 60 days after the Record Date and 3,010 RSUs which will vest within 60 days after the Record Date.</w:t>
      </w:r>
    </w:p>
    <w:p>
      <w:pPr>
        <w:ind w:left="752" w:right="14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94,047 shares of common stock that were exercisable as of the Record Date or may be exercised within 60 days after the Record Date and 3,010 RSUs which will vest within 60 days after the Record Date.</w:t>
      </w:r>
    </w:p>
    <w:p>
      <w:pPr>
        <w:ind w:left="752" w:right="26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299,981 shares of common stock that were exercisable as of the Record Date or may be exercised within 60 days after the Record Date.</w:t>
      </w:r>
    </w:p>
    <w:p>
      <w:pPr>
        <w:ind w:left="752" w:right="240" w:hanging="752"/>
        <w:spacing w:after="0" w:line="25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options to purchase 9,087 shares of common stock that were exercisable as of the Record Date or may be exercised within 60 days after the Record Date and 2,007 RSUs which will vest within 60 days after the Record Date.</w:t>
      </w:r>
    </w:p>
    <w:p>
      <w:pPr>
        <w:ind w:left="752" w:right="120" w:hanging="752"/>
        <w:spacing w:after="0" w:line="260"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options to purchase 3,004,486 shares of common stock that were exercisable as of the Record Date or may be exercised within 60 days after the Record Date and 23,077 RSUs which will vest within 60 days after the Record Date.</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the following is a description of transactions since January 1, 2022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w:t>
      </w:r>
    </w:p>
    <w:p>
      <w:pPr>
        <w:spacing w:after="0" w:line="187"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All of the transactions set forth below were approved by our Audit Committee or a majority of the Board, including a majority of the independent and disinterested members of the Board. We believe that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or a majority of the members of the Board, including a majority of the independent and disinterested members of the Board, and are on terms no less favorable to us than those that we could obtain from unaffiliated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FOXKISER LLP Strategic Services Agreement</w:t>
      </w:r>
    </w:p>
    <w:p>
      <w:pPr>
        <w:spacing w:after="0" w:line="229"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In January 2019, we entered into a Strategic Services Agreement (the “2019 Strategic Services Agreement”) with FOXKISER, which is (i) an affiliate of Allan M. Fox, our Chairman of the Board, and (ii) an affiliate of certain entities controlled by Mr. Fox which hold an aggregate of more than five percent of our common stock.</w:t>
      </w:r>
    </w:p>
    <w:p>
      <w:pPr>
        <w:spacing w:after="0" w:line="184"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In June 2019, the 2019 Strategic Services Agreement was amended to expand the scope of services provided and increase the monthly fee. In August 2020, the 2019 Strategic Services Agreement was further amended to extend the term. Pursuant to the 2019 Strategic Services Agreement, as amended, we incurred a monthly fixed fee of $400,000 in consideration for certain strategic services provided by FOXKISER. In December 2021, we terminated the 2019 Strategic Services Agreement, effective as of June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have entered, or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spacing w:after="0" w:line="161"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In addition, as permitted by Section 145 of the Delaware General Corporation Law, our Bylaws provide that we are authorized to enter into indemnification agreements with our directors and executive officers and we are authorized to purchase directors’ and officers’ liability insurance, which we currently maintain to cover our directors and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adopted a related party transaction policy under which our directors and executive officers, including their immediate family members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affiliates, are not permitted to enter into a related party transaction without the prior consent of our Audit Committee, or other independent committee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Board if it is inappropriate for our Audit Committee to review such transaction due to a conflict of interest. Any request for us to enter into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 with an executive officer, director or any of such persons’ immediate family members or affiliates, in which the amount involved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$120,000, must first be presented to our Audit Committee for review, consideration and approval. All of our directors and executive officers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to our Audit Committee any such related party transaction. In approving or rejecting the proposed agreement, our Audit Committee shall consider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relevant facts and circumstances available and deemed relevant to the Audit Committee, including, but not limited to the risks, costs, and benefits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transaction, the availability of other sources for comparable services or products, and, if applicable, the impact on a director’s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independence. Our Audit Committee shall approve only those agreements that, in light of known circumstances, are not inconsistent with our best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our Audit Committee determines in the good faith exercise of its discretion.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2720"/>
        <w:spacing w:after="0"/>
        <w:rPr>
          <w:sz w:val="20"/>
          <w:szCs w:val="20"/>
          <w:color w:val="auto"/>
        </w:rPr>
      </w:pPr>
      <w:r>
        <w:rPr>
          <w:rFonts w:ascii="Arial" w:cs="Arial" w:eastAsia="Arial" w:hAnsi="Arial"/>
          <w:sz w:val="18"/>
          <w:szCs w:val="18"/>
          <w:b w:val="1"/>
          <w:bCs w:val="1"/>
          <w:color w:val="auto"/>
        </w:rPr>
        <w:t>QUESTIONS AND ANSWERS ABOUT THE PROXY MATERIALS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 and a related proxy card?</w:t>
      </w:r>
    </w:p>
    <w:p>
      <w:pPr>
        <w:spacing w:after="0" w:line="229"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You have received these proxy materials because you owned shares of REGENXBIO common stock at the close of business on April 3, 2023, the record date for the Annual Meeting, and our Board is soliciting your proxy to vote at the Annual Meeting. This Proxy Statement describes matters on which we would like you to vote at the Annual Meeting so that you can make an informed decision.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229" w:lineRule="exact"/>
        <w:rPr>
          <w:sz w:val="20"/>
          <w:szCs w:val="20"/>
          <w:color w:val="auto"/>
        </w:rPr>
      </w:pPr>
    </w:p>
    <w:p>
      <w:pPr>
        <w:ind w:right="240" w:firstLine="749"/>
        <w:spacing w:after="0" w:line="293" w:lineRule="auto"/>
        <w:rPr>
          <w:sz w:val="20"/>
          <w:szCs w:val="20"/>
          <w:color w:val="auto"/>
        </w:rPr>
      </w:pPr>
      <w:r>
        <w:rPr>
          <w:rFonts w:ascii="Arial" w:cs="Arial" w:eastAsia="Arial" w:hAnsi="Arial"/>
          <w:sz w:val="16"/>
          <w:szCs w:val="16"/>
          <w:color w:val="auto"/>
        </w:rPr>
        <w:t>Pursuant to rules adopted by the SEC, we are permitted to furnish our proxy materials over the internet to our stockholders by delivering the Notice in the mail. This method conserves natural resources and reduces our costs, while providing stockholders with a convenient way of accessing the materials and voting. As a result, only stockholders who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via telephone or the internet. If a stockholder who received a Notice would like to receive a printed copy of our proxy materials, such stockholder should follow the instructions for requesting these materials contained in the Notice.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229"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You are invited to attend the Annual Meeting to vote on the proposals described in this Proxy Statement. However, you do not need to attend the Annual Meeting to vote your shares. Instead, you may simply follow the instructions below to submit your proxy via telephone or the internet. If you received a printed set of materials, you may also vote by mail by completing, signing, dating and returning the proxy card.</w:t>
      </w:r>
    </w:p>
    <w:p>
      <w:pPr>
        <w:spacing w:after="0" w:line="165"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8"/>
          <w:szCs w:val="18"/>
          <w:color w:val="auto"/>
        </w:rPr>
        <w:t>When you vote, regardless of the method used, you appoint Kenneth T. Mills, our President and CEO, and Patrick J. Christmas, our EVP, Chief Legal Officer, as your representatives (or 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43,465,161 shares of our common stock outstanding. All of these outstanding shares are entitled to vote at the Annual Meeting (one vote per share of common stock) in connection with the matters set forth in this Proxy Statement.</w:t>
      </w:r>
    </w:p>
    <w:p>
      <w:pPr>
        <w:spacing w:after="0" w:line="184"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A list of stockholders entitled to vote will be available at the Annual Meeting and will be accessible for 10 days prior to the Annual Meeting at our principal place of business, 9804 Medical Center Drive, Rockville, Maryland 20850, during ordinary business hours.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stockholder of record and how can I vote if I am a stockholder of record?</w:t>
      </w:r>
    </w:p>
    <w:p>
      <w:pPr>
        <w:spacing w:after="0" w:line="229"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If, on the Record Date, your shares of common stock were registered directly in your name with our transfer agent, Computershare Trust Company, N.A., then you are a stockholder of record. Stockholders of record may vote via the internet, telephone or mail (if you received a proxy card by mail) as described below. Stockholders also may attend the meeting and vote in person.</w:t>
      </w:r>
    </w:p>
    <w:p>
      <w:pPr>
        <w:spacing w:after="0" w:line="184" w:lineRule="exact"/>
        <w:rPr>
          <w:sz w:val="20"/>
          <w:szCs w:val="20"/>
          <w:color w:val="auto"/>
        </w:rPr>
      </w:pPr>
    </w:p>
    <w:p>
      <w:pPr>
        <w:ind w:left="1140" w:right="140" w:hanging="383"/>
        <w:spacing w:after="0" w:line="263"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using the internet. </w:t>
      </w:r>
      <w:r>
        <w:rPr>
          <w:rFonts w:ascii="Arial" w:cs="Arial" w:eastAsia="Arial" w:hAnsi="Arial"/>
          <w:sz w:val="18"/>
          <w:szCs w:val="18"/>
          <w:color w:val="auto"/>
        </w:rPr>
        <w:t>The address of the website for internet voting is www.proxyvote.com. Internet voting is available 24</w:t>
      </w:r>
      <w:r>
        <w:rPr>
          <w:rFonts w:ascii="Arial" w:cs="Arial" w:eastAsia="Arial" w:hAnsi="Arial"/>
          <w:sz w:val="18"/>
          <w:szCs w:val="18"/>
          <w:i w:val="1"/>
          <w:iCs w:val="1"/>
          <w:color w:val="auto"/>
        </w:rPr>
        <w:t xml:space="preserve"> </w:t>
      </w:r>
      <w:r>
        <w:rPr>
          <w:rFonts w:ascii="Arial" w:cs="Arial" w:eastAsia="Arial" w:hAnsi="Arial"/>
          <w:sz w:val="18"/>
          <w:szCs w:val="18"/>
          <w:color w:val="auto"/>
        </w:rPr>
        <w:t>hours a day and will be accessible until 11:59 p.m. Eastern Time on the day before the Annual Meeting. Easy-to-follow instructions allow you to vote your shares and confirm that your voting instructions have been properly recorded.</w:t>
      </w:r>
    </w:p>
    <w:p>
      <w:pPr>
        <w:spacing w:after="0" w:line="183" w:lineRule="exact"/>
        <w:rPr>
          <w:rFonts w:ascii="Arial" w:cs="Arial" w:eastAsia="Arial" w:hAnsi="Arial"/>
          <w:sz w:val="18"/>
          <w:szCs w:val="18"/>
          <w:color w:val="auto"/>
        </w:rPr>
      </w:pPr>
    </w:p>
    <w:p>
      <w:pPr>
        <w:ind w:left="1140" w:right="160" w:hanging="383"/>
        <w:spacing w:after="0" w:line="286" w:lineRule="auto"/>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You may vote by telephone. </w:t>
      </w:r>
      <w:r>
        <w:rPr>
          <w:rFonts w:ascii="Arial" w:cs="Arial" w:eastAsia="Arial" w:hAnsi="Arial"/>
          <w:sz w:val="17"/>
          <w:szCs w:val="17"/>
          <w:color w:val="auto"/>
        </w:rPr>
        <w:t>The toll-free number for telephone voting is noted on the Notice and your proxy card. Telephone voting is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24 hours a day and will be accessible until 11:59 p.m. Eastern Time on the day before the Annual Meeting. Voice prompts allow you to vote your shares and confirm that your voting instructions have been properly recorded.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3" w:name="page54"/>
    <w:bookmarkEnd w:id="53"/>
    <w:p>
      <w:pPr>
        <w:ind w:left="1140" w:right="140" w:hanging="383"/>
        <w:spacing w:after="0" w:line="277"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If you received a proxy card by mail and choose to vote by mail, simply mark your proxy card, date and sign it, and</w:t>
      </w:r>
      <w:r>
        <w:rPr>
          <w:rFonts w:ascii="Arial" w:cs="Arial" w:eastAsia="Arial" w:hAnsi="Arial"/>
          <w:sz w:val="18"/>
          <w:szCs w:val="18"/>
          <w:i w:val="1"/>
          <w:iCs w:val="1"/>
          <w:color w:val="auto"/>
        </w:rPr>
        <w:t xml:space="preserve"> </w:t>
      </w:r>
      <w:r>
        <w:rPr>
          <w:rFonts w:ascii="Arial" w:cs="Arial" w:eastAsia="Arial" w:hAnsi="Arial"/>
          <w:sz w:val="18"/>
          <w:szCs w:val="18"/>
          <w:color w:val="auto"/>
        </w:rPr>
        <w:t>return it in the postage-paid envelope provided.</w:t>
      </w:r>
    </w:p>
    <w:p>
      <w:pPr>
        <w:spacing w:after="0" w:line="170" w:lineRule="exact"/>
        <w:rPr>
          <w:sz w:val="20"/>
          <w:szCs w:val="20"/>
          <w:color w:val="auto"/>
        </w:rPr>
      </w:pPr>
    </w:p>
    <w:p>
      <w:pPr>
        <w:ind w:right="460" w:firstLine="749"/>
        <w:spacing w:after="0" w:line="308" w:lineRule="auto"/>
        <w:rPr>
          <w:sz w:val="20"/>
          <w:szCs w:val="20"/>
          <w:color w:val="auto"/>
        </w:rPr>
      </w:pPr>
      <w:r>
        <w:rPr>
          <w:rFonts w:ascii="Arial" w:cs="Arial" w:eastAsia="Arial" w:hAnsi="Arial"/>
          <w:sz w:val="17"/>
          <w:szCs w:val="17"/>
          <w:color w:val="auto"/>
        </w:rPr>
        <w:t>The method you use to vote will not limit your right to vote at the Annual Meeting if you decide to attend in person. Written ballots will be passed out to anyone who wants to vote at the Annual Meeting. In all cases, your shares will be voted according to your instructions.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beneficial owner of shares and how can I vote if I am a beneficial owner?</w:t>
      </w:r>
    </w:p>
    <w:p>
      <w:pPr>
        <w:spacing w:after="0" w:line="229"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Discretionary items are proposals considered routine under applicable rules on which your broker may vote shares held in street name if you have not provided voting instructions. On non-discretionary items for which you do not give your broker instructions, your broker may not vote shares held in street name, which is referred to as a “broker non-vote.” Please see “—What proposals will be voted on at the Annual Meeting and what vote is required to approve each proposal?” below for details regarding broker voting for each proposal.</w:t>
      </w:r>
    </w:p>
    <w:p>
      <w:pPr>
        <w:spacing w:after="0" w:line="187"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As a beneficial owner, you are invited to attend the Annual Meeting. If you are a beneficial owner and not the stockholder of record, you may not vote your shares in person at the Annual Meeting unless you request and obtain a valid proxy from your bank, broker or other nominee.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170" w:lineRule="exact"/>
        <w:rPr>
          <w:sz w:val="20"/>
          <w:szCs w:val="20"/>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 may submit a subsequent proxy via the internet, telephone or mail executed on a later date;</w:t>
      </w:r>
    </w:p>
    <w:p>
      <w:pPr>
        <w:spacing w:after="0" w:line="225" w:lineRule="exact"/>
        <w:rPr>
          <w:rFonts w:ascii="Arial" w:cs="Arial" w:eastAsia="Arial" w:hAnsi="Arial"/>
          <w:sz w:val="18"/>
          <w:szCs w:val="18"/>
          <w:color w:val="auto"/>
        </w:rPr>
      </w:pPr>
    </w:p>
    <w:p>
      <w:pPr>
        <w:ind w:left="1140" w:right="440" w:hanging="383"/>
        <w:spacing w:after="0" w:line="277"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Corporate Secretary of the Company at 9804 Medical Center Drive, Rockville, Maryland 20850; or</w:t>
      </w:r>
    </w:p>
    <w:p>
      <w:pPr>
        <w:spacing w:after="0" w:line="170"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If you hold your shares in street name, you must contact the bank, broker or other nominee holding your shares and follow their instructions for changing your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ind w:right="420" w:firstLine="749"/>
        <w:spacing w:after="0" w:line="279" w:lineRule="auto"/>
        <w:rPr>
          <w:sz w:val="20"/>
          <w:szCs w:val="20"/>
          <w:color w:val="auto"/>
        </w:rPr>
      </w:pPr>
      <w:r>
        <w:rPr>
          <w:rFonts w:ascii="Arial" w:cs="Arial" w:eastAsia="Arial" w:hAnsi="Arial"/>
          <w:sz w:val="17"/>
          <w:szCs w:val="17"/>
          <w:color w:val="auto"/>
        </w:rPr>
        <w:t>A quorum of stockholders is necessary to conduct business at the Annual Meeting. Pursuant to our Bylaws, a quorum will be present if a majority of the voting power of outstanding shares of the Company entitled to vote generally in the election of directors is represented in person or by proxy at the Annual Meeting. On the Record Date, there were 43,465,161 shares of common stock outstanding and entitled to vote. Thus, 21,732,581 shares must be represented by stockholders present at the Annual Meeting or represented by proxy to have a quorum.</w:t>
      </w:r>
    </w:p>
    <w:p>
      <w:pPr>
        <w:spacing w:after="0" w:line="171"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Your shares will be counted towards the quorum if you submit a valid proxy (or one is submitted on your behalf by your bank, broker or other nominee) or if you attend the Annual Meeting and vote in person. Abstentions and broker discretionary votes will be counted for the purpose of determining whether a quorum is present for the transaction of business. If a quorum is not present, the chairman of the meeting or the holders of a majority of the votes present at the Annual Meeting may adjourn the Annual Meeting to another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What proposals will be voted on at the Annual Meeting and what vote is required to approve each proposal?</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description of the proposals that will be voted on at the Annual Meeting: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Proposal</w:t>
            </w:r>
          </w:p>
        </w:tc>
        <w:tc>
          <w:tcPr>
            <w:tcW w:w="15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Board</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Vote Required</w:t>
            </w:r>
          </w:p>
        </w:tc>
        <w:tc>
          <w:tcPr>
            <w:tcW w:w="2040" w:type="dxa"/>
            <w:vAlign w:val="bottom"/>
          </w:tcPr>
          <w:p>
            <w:pPr>
              <w:jc w:val="center"/>
              <w:ind w:left="97"/>
              <w:spacing w:after="0"/>
              <w:rPr>
                <w:sz w:val="20"/>
                <w:szCs w:val="20"/>
                <w:color w:val="auto"/>
              </w:rPr>
            </w:pPr>
            <w:r>
              <w:rPr>
                <w:rFonts w:ascii="Arial" w:cs="Arial" w:eastAsia="Arial" w:hAnsi="Arial"/>
                <w:sz w:val="14"/>
                <w:szCs w:val="14"/>
                <w:b w:val="1"/>
                <w:bCs w:val="1"/>
                <w:color w:val="auto"/>
                <w:w w:val="93"/>
              </w:rPr>
              <w:t>Broker Discretionary Voting</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Recommendation</w:t>
            </w:r>
          </w:p>
        </w:tc>
        <w:tc>
          <w:tcPr>
            <w:tcW w:w="216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137"/>
              <w:spacing w:after="0"/>
              <w:rPr>
                <w:sz w:val="20"/>
                <w:szCs w:val="20"/>
                <w:color w:val="auto"/>
              </w:rPr>
            </w:pPr>
            <w:r>
              <w:rPr>
                <w:rFonts w:ascii="Arial" w:cs="Arial" w:eastAsia="Arial" w:hAnsi="Arial"/>
                <w:sz w:val="14"/>
                <w:szCs w:val="14"/>
                <w:b w:val="1"/>
                <w:bCs w:val="1"/>
                <w:color w:val="auto"/>
                <w:w w:val="93"/>
              </w:rPr>
              <w:t>Allowed?</w:t>
            </w:r>
          </w:p>
        </w:tc>
        <w:tc>
          <w:tcPr>
            <w:tcW w:w="0" w:type="dxa"/>
            <w:vAlign w:val="bottom"/>
          </w:tcPr>
          <w:p>
            <w:pPr>
              <w:spacing w:after="0"/>
              <w:rPr>
                <w:sz w:val="1"/>
                <w:szCs w:val="1"/>
                <w:color w:val="auto"/>
              </w:rPr>
            </w:pPr>
          </w:p>
        </w:tc>
      </w:tr>
      <w:tr>
        <w:trPr>
          <w:trHeight w:val="43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three Class II directors</w:t>
            </w:r>
          </w:p>
        </w:tc>
        <w:tc>
          <w:tcPr>
            <w:tcW w:w="154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FOR</w:t>
            </w:r>
          </w:p>
        </w:tc>
        <w:tc>
          <w:tcPr>
            <w:tcW w:w="2160" w:type="dxa"/>
            <w:vAlign w:val="bottom"/>
          </w:tcPr>
          <w:p>
            <w:pPr>
              <w:jc w:val="center"/>
              <w:ind w:left="15"/>
              <w:spacing w:after="0"/>
              <w:rPr>
                <w:sz w:val="20"/>
                <w:szCs w:val="20"/>
                <w:color w:val="auto"/>
              </w:rPr>
            </w:pPr>
            <w:r>
              <w:rPr>
                <w:rFonts w:ascii="Arial" w:cs="Arial" w:eastAsia="Arial" w:hAnsi="Arial"/>
                <w:sz w:val="18"/>
                <w:szCs w:val="18"/>
                <w:color w:val="auto"/>
                <w:w w:val="91"/>
              </w:rPr>
              <w:t>Plurality of Votes Cast</w:t>
            </w:r>
          </w:p>
        </w:tc>
        <w:tc>
          <w:tcPr>
            <w:tcW w:w="2040" w:type="dxa"/>
            <w:vAlign w:val="bottom"/>
          </w:tcPr>
          <w:p>
            <w:pPr>
              <w:jc w:val="center"/>
              <w:ind w:left="137"/>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445"/>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w w:val="93"/>
              </w:rPr>
              <w:t xml:space="preserve">Proposal 2: </w:t>
            </w:r>
            <w:r>
              <w:rPr>
                <w:rFonts w:ascii="Arial" w:cs="Arial" w:eastAsia="Arial" w:hAnsi="Arial"/>
                <w:sz w:val="18"/>
                <w:szCs w:val="18"/>
                <w:color w:val="auto"/>
                <w:w w:val="93"/>
              </w:rPr>
              <w:t>Ratification of the selection of PricewaterhouseCoopers LLP</w:t>
            </w:r>
          </w:p>
        </w:tc>
        <w:tc>
          <w:tcPr>
            <w:tcW w:w="154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FOR</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Majority of Votes Cast</w:t>
            </w:r>
          </w:p>
        </w:tc>
        <w:tc>
          <w:tcPr>
            <w:tcW w:w="2040" w:type="dxa"/>
            <w:vAlign w:val="bottom"/>
          </w:tcPr>
          <w:p>
            <w:pPr>
              <w:jc w:val="center"/>
              <w:ind w:left="137"/>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(“PwC”) as our independent registered public accounting firm</w:t>
            </w:r>
          </w:p>
        </w:tc>
        <w:tc>
          <w:tcPr>
            <w:tcW w:w="1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Advisory vote on executive compensation</w:t>
            </w:r>
          </w:p>
        </w:tc>
        <w:tc>
          <w:tcPr>
            <w:tcW w:w="154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FOR</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Majority of Votes Cast</w:t>
            </w:r>
          </w:p>
        </w:tc>
        <w:tc>
          <w:tcPr>
            <w:tcW w:w="2040" w:type="dxa"/>
            <w:vAlign w:val="bottom"/>
          </w:tcPr>
          <w:p>
            <w:pPr>
              <w:jc w:val="center"/>
              <w:ind w:left="137"/>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 xml:space="preserve">Plurality of Votes Cast </w:t>
      </w:r>
      <w:r>
        <w:rPr>
          <w:rFonts w:ascii="Arial" w:cs="Arial" w:eastAsia="Arial" w:hAnsi="Arial"/>
          <w:sz w:val="16"/>
          <w:szCs w:val="16"/>
          <w:color w:val="auto"/>
        </w:rPr>
        <w:t>means that, with respect to Proposal 1, the nominees for director receiving the greatest number of votes will be elected.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Withheld votes, abstentions and broker non-votes will have no effect on the election of a nominee.</w:t>
      </w:r>
    </w:p>
    <w:p>
      <w:pPr>
        <w:spacing w:after="0" w:line="211"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i w:val="1"/>
          <w:iCs w:val="1"/>
          <w:color w:val="auto"/>
        </w:rPr>
        <w:t xml:space="preserve">Majority of Votes Cast </w:t>
      </w:r>
      <w:r>
        <w:rPr>
          <w:rFonts w:ascii="Arial" w:cs="Arial" w:eastAsia="Arial" w:hAnsi="Arial"/>
          <w:sz w:val="18"/>
          <w:szCs w:val="18"/>
          <w:color w:val="auto"/>
        </w:rPr>
        <w:t>means that a proposal that receives an affirmative majority of the votes cast will be approved. Abstentions and broker</w:t>
      </w:r>
      <w:r>
        <w:rPr>
          <w:rFonts w:ascii="Arial" w:cs="Arial" w:eastAsia="Arial" w:hAnsi="Arial"/>
          <w:sz w:val="18"/>
          <w:szCs w:val="18"/>
          <w:i w:val="1"/>
          <w:iCs w:val="1"/>
          <w:color w:val="auto"/>
        </w:rPr>
        <w:t xml:space="preserve"> </w:t>
      </w:r>
      <w:r>
        <w:rPr>
          <w:rFonts w:ascii="Arial" w:cs="Arial" w:eastAsia="Arial" w:hAnsi="Arial"/>
          <w:sz w:val="18"/>
          <w:szCs w:val="18"/>
          <w:color w:val="auto"/>
        </w:rPr>
        <w:t>non-votes, if any, will not be counted “For” or “Against” Proposal 2 or Proposal 3 and will have no effect on the outcome of either proposal. We do not expect to receive broker non-votes for Proposal 2, as banks, brokers and other nominees will have discretionary authority to vote shares for which beneficial owners do not provide voting instructions on that proposal.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Votes on each proposal will be tabulated by the inspector of elections appointed for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229"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If a nominee is unable to stand for election, the Board may either reduce the number of directors that serve on the Board or designate a substitute nominee. If the Board designates a substitute nominee, shares represented by proxies voted for the nominee who is unable to stand for election will be voted for the substitute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submit my proxy but do not provide voting instructions?</w:t>
      </w:r>
    </w:p>
    <w:p>
      <w:pPr>
        <w:spacing w:after="0" w:line="229"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If you submit a proxy via telephone or the internet or return a signed and dated proxy card without indicating instructions with respect to a specific proposal, your shares will be voted in accordance with the Board’s recommendation for such proposal.</w:t>
      </w:r>
    </w:p>
    <w:p>
      <w:pPr>
        <w:spacing w:after="0" w:line="170"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If any other matter is properly presented at the Annual Meeting, the proxyholders for shares voted on the proxy card (</w:t>
      </w:r>
      <w:r>
        <w:rPr>
          <w:rFonts w:ascii="Arial" w:cs="Arial" w:eastAsia="Arial" w:hAnsi="Arial"/>
          <w:sz w:val="18"/>
          <w:szCs w:val="18"/>
          <w:i w:val="1"/>
          <w:iCs w:val="1"/>
          <w:color w:val="auto"/>
        </w:rPr>
        <w:t>i.e.</w:t>
      </w:r>
      <w:r>
        <w:rPr>
          <w:rFonts w:ascii="Arial" w:cs="Arial" w:eastAsia="Arial" w:hAnsi="Arial"/>
          <w:sz w:val="18"/>
          <w:szCs w:val="18"/>
          <w:color w:val="auto"/>
        </w:rPr>
        <w:t>, one of the individuals named as proxies on the proxy card) will vote your shares using their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229"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You will need proof of your share ownership as of the Record Date and a form of photo identification, such as a valid driver’s license. If you do not have proof of ownership and valid photo identification, you may not be admitted to the Annual Meeting. If you are a stockholder of record, your ownership as of the Record Date will be verified prior to admittance into the meeting. If you are not a stockholder of record but hold shares in street name, you must provide proof of beneficial ownership as of the Record Date, such as an account statement or similar evidence of ownership.</w:t>
      </w:r>
    </w:p>
    <w:p>
      <w:pPr>
        <w:spacing w:after="0" w:line="171" w:lineRule="exact"/>
        <w:rPr>
          <w:sz w:val="20"/>
          <w:szCs w:val="20"/>
          <w:color w:val="auto"/>
        </w:rPr>
      </w:pPr>
    </w:p>
    <w:p>
      <w:pPr>
        <w:ind w:right="540" w:firstLine="749"/>
        <w:spacing w:after="0" w:line="308" w:lineRule="auto"/>
        <w:rPr>
          <w:sz w:val="20"/>
          <w:szCs w:val="20"/>
          <w:color w:val="auto"/>
        </w:rPr>
      </w:pPr>
      <w:r>
        <w:rPr>
          <w:rFonts w:ascii="Arial" w:cs="Arial" w:eastAsia="Arial" w:hAnsi="Arial"/>
          <w:sz w:val="17"/>
          <w:szCs w:val="17"/>
          <w:color w:val="auto"/>
        </w:rPr>
        <w:t>All bags, briefcases and packages will be held at registration and will not be allowed in the Annual Meeting. We will not permit the use of cameras (including cell phones and other devices with photographic capabilities) or other recording devices in the meeting room.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accompanying proxy is being solicited by the Board.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229"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9" w:lineRule="exact"/>
        <w:rPr>
          <w:sz w:val="20"/>
          <w:szCs w:val="20"/>
          <w:color w:val="auto"/>
        </w:rPr>
      </w:pPr>
    </w:p>
    <w:p>
      <w:pPr>
        <w:ind w:right="120" w:firstLine="749"/>
        <w:spacing w:after="0" w:line="223" w:lineRule="exact"/>
        <w:rPr>
          <w:sz w:val="20"/>
          <w:szCs w:val="20"/>
          <w:color w:val="auto"/>
        </w:rPr>
      </w:pPr>
      <w:r>
        <w:rPr>
          <w:rFonts w:ascii="Arial" w:cs="Arial" w:eastAsia="Arial" w:hAnsi="Arial"/>
          <w:sz w:val="18"/>
          <w:szCs w:val="18"/>
          <w:color w:val="auto"/>
        </w:rPr>
        <w:t>Preliminary voting results are expected to be announced at the Annual Meeting. We expect to report final voting results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no later than the fourth business day after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the Company’s proxy materials on the internet?</w:t>
      </w:r>
    </w:p>
    <w:p>
      <w:pPr>
        <w:spacing w:after="0" w:line="229"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This Proxy Statement and the Annual Report are available at our website at www.regenxbio.com. You also can obtain copies without charge at the SEC’s website at www.sec.gov and may access these materials at www.proxyvote.com. Website addresses referenced herein are intended to provide inactive, textual references only, and the information on these websites is not part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separate set of the Company’s proxy materials if I share an address with other stockholders?</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receive only one copy of the Notice. This practice is called “householding” and is designed to conserve natural resources and save printing and postage costs by reducing duplicate mailings.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ind w:right="160" w:firstLine="749"/>
        <w:spacing w:after="0" w:line="308" w:lineRule="auto"/>
        <w:rPr>
          <w:sz w:val="20"/>
          <w:szCs w:val="20"/>
          <w:color w:val="auto"/>
        </w:rPr>
      </w:pPr>
      <w:r>
        <w:rPr>
          <w:rFonts w:ascii="Arial" w:cs="Arial" w:eastAsia="Arial" w:hAnsi="Arial"/>
          <w:sz w:val="17"/>
          <w:szCs w:val="17"/>
          <w:color w:val="auto"/>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electronically?</w:t>
      </w:r>
    </w:p>
    <w:p>
      <w:pPr>
        <w:spacing w:after="0" w:line="229"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Yes. This Proxy Statement and the Annual Report are available on our website at www.regenxbio.com.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I propose actions for consideration at next year’s annual meeting of stockholders or nominate individuals to serve as directors?</w:t>
      </w:r>
    </w:p>
    <w:p>
      <w:pPr>
        <w:spacing w:after="0" w:line="24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Yes. The following requirements apply to stockholder proposals, including director nominations, for our 2024 annual meeting of stockholders: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6" w:name="page57"/>
    <w:bookmarkEnd w:id="56"/>
    <w:p>
      <w:pPr>
        <w:ind w:left="760"/>
        <w:spacing w:after="0"/>
        <w:rPr>
          <w:sz w:val="20"/>
          <w:szCs w:val="20"/>
          <w:color w:val="auto"/>
        </w:rPr>
      </w:pPr>
      <w:r>
        <w:rPr>
          <w:rFonts w:ascii="Arial" w:cs="Arial" w:eastAsia="Arial" w:hAnsi="Arial"/>
          <w:sz w:val="18"/>
          <w:szCs w:val="18"/>
          <w:b w:val="1"/>
          <w:bCs w:val="1"/>
          <w:i w:val="1"/>
          <w:iCs w:val="1"/>
          <w:color w:val="auto"/>
        </w:rPr>
        <w:t>Requirements for Stockholder Proposals to Be Considered for Inclusion in the Company’s Proxy Materials</w:t>
      </w:r>
    </w:p>
    <w:p>
      <w:pPr>
        <w:spacing w:after="0" w:line="225" w:lineRule="exact"/>
        <w:rPr>
          <w:sz w:val="20"/>
          <w:szCs w:val="20"/>
          <w:color w:val="auto"/>
        </w:rPr>
      </w:pPr>
    </w:p>
    <w:p>
      <w:pPr>
        <w:ind w:right="20" w:firstLine="749"/>
        <w:spacing w:after="0" w:line="218" w:lineRule="exact"/>
        <w:rPr>
          <w:sz w:val="20"/>
          <w:szCs w:val="20"/>
          <w:color w:val="auto"/>
        </w:rPr>
      </w:pPr>
      <w:r>
        <w:rPr>
          <w:rFonts w:ascii="Arial" w:cs="Arial" w:eastAsia="Arial" w:hAnsi="Arial"/>
          <w:sz w:val="17"/>
          <w:szCs w:val="17"/>
          <w:color w:val="auto"/>
        </w:rPr>
        <w:t>Stockholders interested in submitting a proposal (other than the nomination of directors) for inclusion in the proxy materials to be distributed by us for our 2024 annual meeting of stockholders may do so by following the procedures prescribed in Rule 14a</w:t>
      </w:r>
      <w:r>
        <w:rPr>
          <w:rFonts w:ascii="MS PGothic" w:cs="MS PGothic" w:eastAsia="MS PGothic" w:hAnsi="MS PGothic"/>
          <w:sz w:val="17"/>
          <w:szCs w:val="17"/>
          <w:color w:val="auto"/>
        </w:rPr>
        <w:t>‑</w:t>
      </w:r>
      <w:r>
        <w:rPr>
          <w:rFonts w:ascii="Arial" w:cs="Arial" w:eastAsia="Arial" w:hAnsi="Arial"/>
          <w:sz w:val="17"/>
          <w:szCs w:val="17"/>
          <w:color w:val="auto"/>
        </w:rPr>
        <w:t>8 promulgated under the Exchange Act. To be eligible for inclusion in the Company’s proxy materials, stockholder proposals must be received at our principal executive offices no later than the close of business on December 8, 2023, which is the 120th day prior to the first anniversary of the date that we released this Proxy Statement to our stockholders for the Annual Meeting. To be included in our proxy materials, your proposal also must comply with our Bylaws and Rule 14a</w:t>
      </w:r>
      <w:r>
        <w:rPr>
          <w:rFonts w:ascii="MS PGothic" w:cs="MS PGothic" w:eastAsia="MS PGothic" w:hAnsi="MS PGothic"/>
          <w:sz w:val="17"/>
          <w:szCs w:val="17"/>
          <w:color w:val="auto"/>
        </w:rPr>
        <w:t>‑</w:t>
      </w:r>
      <w:r>
        <w:rPr>
          <w:rFonts w:ascii="Arial" w:cs="Arial" w:eastAsia="Arial" w:hAnsi="Arial"/>
          <w:sz w:val="17"/>
          <w:szCs w:val="17"/>
          <w:color w:val="auto"/>
        </w:rPr>
        <w:t>8 promulgated under the Exchange Act regarding the inclusion of stockholder proposals in company-sponsored proxy materials. If we change the date of our 2024 annual meeting of stockholders by more than 30 days from the anniversary of this year’s Annual Meeting, stockholder proposals must be received a reasonable time before we begin to print and mail our proxy materials for our 2024 annual meeting of stockholders. Such proposals should be sent to REGENXBIO Inc., 9804 Medical Center Drive, Rockville, Maryland 20850, Attention: Corporate Secretary.</w:t>
      </w:r>
    </w:p>
    <w:p>
      <w:pPr>
        <w:spacing w:after="0" w:line="203"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b w:val="1"/>
          <w:bCs w:val="1"/>
          <w:i w:val="1"/>
          <w:iCs w:val="1"/>
          <w:color w:val="auto"/>
        </w:rPr>
        <w:t>Requirements for Stockholder Nomination of Director Candidates and Stockholder Proposals Not Intended for Inclusion in the Company’s Proxy Materials</w:t>
      </w:r>
    </w:p>
    <w:p>
      <w:pPr>
        <w:spacing w:after="0" w:line="170"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Stockholders who wish to nominate persons for election to the Board at our 2024 annual meeting of stockholders or who wish to present a proposal at our 2024 annual meeting of stockholders, but who do not intend for such proposal to be included in the Company’s proxy materials for such meeting, must deliver written notice of the nomination or proposal to our Corporate Secretary at our principal executive offices no earlier than January 22, 2024, which is the 75th day prior to the first anniversary of the date we released this Proxy Statement to our stockholders for the Annual Meeting, and no later than February 21, 2024, which is the 45th day prior to the first anniversary of the date we released this Proxy Statement to our stockholders for the Annual Meeting. However, if we change the date of our 2024 annual meeting of stockholders by more than 30 days from the anniversary of this year’s Annual Meeting, such nominations and proposals must be received no later than the close of business on the later of (a) the 90th day prior to our 2024 annual meeting of stockholders and (b) the 10th day following the day we first publicly announce the date of our 2024 annual meeting of stockholders. The stockholder’s written notice must include certain information concerning the stockholder and each nominee and proposal, as specified in our Bylaws. In addition to satisfying the foregoing requirements under the Company’s Bylaws, stockholders who intend to solicit proxies in support of director nominees other than the Board’s nominees must provide notice that sets forth the information required by Rule 14a-19 promulgated under the Exchange Act and otherwise comply with the requirements of Rule 14a-19. If the stockholder does not also satisfy the requirements of Rule 14a-4 promulgated under the Exchange Act, the persons named as proxies will be allowed to use their discretionary voting authority when and if the matter is raised at the 2024 annual meeting of stockholders. Such nominations or proposals should be sent to REGENXBIO Inc., 9804 Medical Center Drive, Rockville, Maryland 20850, Attention: Corporate Secretary.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Copy of Amended and Restated Bylaws</w:t>
      </w:r>
    </w:p>
    <w:p>
      <w:pPr>
        <w:spacing w:after="0" w:line="225"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You may request a copy of our Bylaws to be delivered to you at no charge by writing to the Company’s Corporate Secretary at REGENXBIO Inc., 9804 Medical Center Drive, Rockville, Maryland 20850, Attention: Corporate Secretary. In addition, we have filed a copy of our Bylaws as Exhibit</w:t>
      </w:r>
    </w:p>
    <w:p>
      <w:pPr>
        <w:ind w:right="20"/>
        <w:spacing w:after="0" w:line="277" w:lineRule="auto"/>
        <w:rPr>
          <w:sz w:val="20"/>
          <w:szCs w:val="20"/>
          <w:color w:val="auto"/>
        </w:rPr>
      </w:pPr>
      <w:r>
        <w:rPr>
          <w:rFonts w:ascii="Arial" w:cs="Arial" w:eastAsia="Arial" w:hAnsi="Arial"/>
          <w:sz w:val="17"/>
          <w:szCs w:val="17"/>
          <w:color w:val="auto"/>
        </w:rPr>
        <w:t>3.2 to our Current Report on Form 8-K filed on September 22, 2015, which may be accessed without charge on our website at www.regenxbio.com and the SEC’s website at www.sec.gov. The information contained on our website, and in all references to our website within this Proxy Statement, shall not be deemed incorporated by reference in this Proxy Statement or in any other filing we make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0" w:firstLine="749"/>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spacing w:after="0" w:line="12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It is important that your proxies be returned promptly and that your shares are represented at the Annual Meeting. Whether or not you plan to attend the Annual Meeting, please complete, date, sign and promptly return the enclosed proxy card in the enclosed postage pre-paid envelope or vote your shares before the Annual Meeting by telephone or over the internet so your shares will be represented at the Annual Meeting.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form of proxy card and this Proxy Statement have been approved by the Board and are being mailed and delivered to stockholders by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ind w:left="2280"/>
        <w:spacing w:after="0"/>
        <w:rPr>
          <w:sz w:val="20"/>
          <w:szCs w:val="20"/>
          <w:color w:val="auto"/>
        </w:rPr>
      </w:pPr>
      <w:r>
        <w:rPr>
          <w:rFonts w:ascii="Arial" w:cs="Arial" w:eastAsia="Arial" w:hAnsi="Arial"/>
          <w:sz w:val="18"/>
          <w:szCs w:val="18"/>
          <w:b w:val="1"/>
          <w:bCs w:val="1"/>
          <w:color w:val="auto"/>
        </w:rPr>
        <w:t>CONTACT INFORMATION FOR QUESTIONS AND ASSISTANCE WITH VOTING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have any questions or require any assistance with voting your shares, please contact: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REGENXBIO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9804 Medical Center Drive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(240) 552-8181</w:t>
      </w:r>
    </w:p>
    <w:p>
      <w:pPr>
        <w:spacing w:after="0" w:line="21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may also be obtained via the internet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88900</wp:posOffset>
            </wp:positionV>
            <wp:extent cx="6172200" cy="7963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6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88900</wp:posOffset>
            </wp:positionV>
            <wp:extent cx="5949315" cy="76981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0"/>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ϰ"/>
      <w:numFmt w:val="bullet"/>
      <w:start w:val="1"/>
    </w:lvl>
  </w:abstractNum>
  <w:abstractNum w:abstractNumId="25">
    <w:nsid w:val="3855585C"/>
    <w:multiLevelType w:val="hybridMultilevel"/>
    <w:lvl w:ilvl="0">
      <w:lvlJc w:val="left"/>
      <w:lvlText w:val="ϰ"/>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ϰ"/>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lowerRoman"/>
      <w:start w:val="4"/>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4"/>
    </w:lvl>
  </w:abstractNum>
  <w:abstractNum w:abstractNumId="48">
    <w:nsid w:val="70C6A529"/>
    <w:multiLevelType w:val="hybridMultilevel"/>
    <w:lvl w:ilvl="0">
      <w:lvlJc w:val="left"/>
      <w:lvlText w:val="(%1)"/>
      <w:numFmt w:val="decimal"/>
      <w:start w:val="6"/>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3"/>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2"/>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2023-04-06T15:31:53Z</dcterms:created>
  <dcterms:modified xsi:type="dcterms:W3CDTF">2023-04-06T15:31:53Z</dcterms:modified>
</cp:coreProperties>
</file>