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3519d424b5.htm"/>
        <w:bookmarkStart w:id="1" w:name="ksd133519d424b5"/>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18"/>
        </w:rPr>
      </w:pPr>
      <w:r>
        <w:rPr>
          <w:rFonts w:ascii="Arial Narrow" w:hAnsi="Arial Narrow"/>
          <w:b/>
          <w:color w:val="FF4338"/>
          <w:sz w:val="18"/>
        </w:rPr>
        <w:t xml:space="preserve">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Filed Pursuant to Rule 424(b)(5)</w:t>
        <w:br/>
        <w:t xml:space="preserve">Registration No. 333-291816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16, 2026 </w:t>
      </w:r>
    </w:p>
    <w:p>
      <w:pPr>
        <w:pStyle w:val="TextBody"/>
        <w:bidi w:val="0"/>
        <w:spacing w:before="240" w:after="0"/>
        <w:ind w:left="960" w:right="960" w:hanging="0"/>
        <w:jc w:val="left"/>
        <w:rPr>
          <w:rFonts w:ascii="Times New Roman" w:hAnsi="Times New Roman"/>
          <w:b/>
          <w:color w:val="FF4338"/>
          <w:sz w:val="20"/>
        </w:rPr>
      </w:pPr>
      <w:r>
        <w:rPr>
          <w:rFonts w:ascii="Times New Roman" w:hAnsi="Times New Roman"/>
          <w:b/>
          <w:color w:val="FF4338"/>
          <w:sz w:val="20"/>
        </w:rPr>
        <w:t xml:space="preserve">Preliminary Prospectus Supplement </w:t>
      </w:r>
    </w:p>
    <w:p>
      <w:pPr>
        <w:pStyle w:val="TextBody"/>
        <w:bidi w:val="0"/>
        <w:spacing w:before="0" w:after="0"/>
        <w:ind w:left="960" w:right="960" w:hanging="0"/>
        <w:jc w:val="left"/>
        <w:rPr>
          <w:rFonts w:ascii="Times New Roman" w:hAnsi="Times New Roman"/>
          <w:b/>
          <w:color w:val="FF4338"/>
          <w:sz w:val="20"/>
        </w:rPr>
      </w:pPr>
      <w:r>
        <w:rPr>
          <w:rFonts w:ascii="Times New Roman" w:hAnsi="Times New Roman"/>
          <w:b/>
          <w:color w:val="FF4338"/>
          <w:sz w:val="20"/>
        </w:rPr>
        <w:t xml:space="preserve">(To Prospectus dated December 12, 2025)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$100,000,000 </w:t>
      </w:r>
    </w:p>
    <w:p>
      <w:pPr>
        <w:pStyle w:val="TextBody"/>
        <w:bidi w:val="0"/>
        <w:spacing w:before="0" w:after="0"/>
        <w:ind w:left="960" w:right="960" w:hanging="0"/>
        <w:jc w:val="center"/>
        <w:rPr/>
      </w:pPr>
      <w:r>
        <w:rPr/>
        <w:drawing>
          <wp:inline distT="0" distB="0" distL="0" distR="0">
            <wp:extent cx="5791200" cy="10814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91200" cy="1081405"/>
                    </a:xfrm>
                    <a:prstGeom prst="rect">
                      <a:avLst/>
                    </a:prstGeom>
                  </pic:spPr>
                </pic:pic>
              </a:graphicData>
            </a:graphic>
          </wp:inline>
        </w:drawing>
      </w:r>
      <w:r>
        <w:rPr/>
        <w:t xml:space="preserve"> </w:t>
      </w:r>
    </w:p>
    <w:p>
      <w:pPr>
        <w:pStyle w:val="TextBody"/>
        <w:bidi w:val="0"/>
        <w:spacing w:before="200" w:after="0"/>
        <w:ind w:left="960" w:right="960" w:hanging="0"/>
        <w:jc w:val="center"/>
        <w:rPr/>
      </w:pPr>
      <w:r>
        <w:rPr/>
        <w:t>    </w:t>
      </w: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00" w:after="0"/>
        <w:ind w:left="960" w:right="960" w:hanging="0"/>
        <w:jc w:val="left"/>
        <w:rPr>
          <w:rFonts w:ascii="Times New Roman" w:hAnsi="Times New Roman"/>
          <w:b/>
          <w:sz w:val="20"/>
        </w:rPr>
      </w:pPr>
      <w:r>
        <w:rPr>
          <w:rFonts w:ascii="Times New Roman" w:hAnsi="Times New Roman"/>
          <w:b/>
          <w:sz w:val="20"/>
        </w:rPr>
        <w:t xml:space="preserve">We are offering     shares of our common stock with an aggregate public offering price of approximately $    pursuant to this prospectus supplement. Our common stock is listed for trading on The Nasdaq Global Select Market (“Nasdaq”) under the symbol “RGNX.” On July 15, 2026, the closing sales price of our common stock on Nasdaq was $12.27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00" w:after="0"/>
        <w:ind w:left="960" w:right="960" w:hanging="0"/>
        <w:jc w:val="left"/>
        <w:rPr>
          <w:rFonts w:ascii="Times New Roman" w:hAnsi="Times New Roman"/>
          <w:sz w:val="20"/>
        </w:rPr>
      </w:pPr>
      <w:r>
        <w:rPr>
          <w:rFonts w:ascii="Times New Roman" w:hAnsi="Times New Roman"/>
          <w:sz w:val="20"/>
        </w:rPr>
        <w:t xml:space="preserve">We are a “smaller reporting company” under applicable Securities and Exchange Commission (“SEC”) rules and, as such, have elected to comply with certain reduced public company disclosure requirements in this prospectus supplement and future filings that we make with the SEC. </w:t>
      </w:r>
    </w:p>
    <w:p>
      <w:pPr>
        <w:pStyle w:val="TextBody"/>
        <w:bidi w:val="0"/>
        <w:spacing w:before="200" w:after="0"/>
        <w:ind w:left="960" w:right="960" w:hanging="0"/>
        <w:jc w:val="left"/>
        <w:rPr/>
      </w:pPr>
      <w:r>
        <w:rPr>
          <w:rFonts w:ascii="Times New Roman" w:hAnsi="Times New Roman"/>
          <w:b/>
          <w:sz w:val="24"/>
        </w:rPr>
        <w:t>Investing in our common stock involves significant risks. Please carefully consider the risks discussed in “</w:t>
      </w:r>
      <w:hyperlink w:anchor="s133519_5">
        <w:r>
          <w:rPr>
            <w:rStyle w:val="InternetLink"/>
            <w:rFonts w:ascii="Times New Roman" w:hAnsi="Times New Roman"/>
            <w:b/>
            <w:sz w:val="24"/>
          </w:rPr>
          <w:t>Risk Factors</w:t>
        </w:r>
      </w:hyperlink>
      <w:r>
        <w:rPr>
          <w:rFonts w:ascii="Times New Roman" w:hAnsi="Times New Roman"/>
          <w:b/>
          <w:sz w:val="24"/>
        </w:rPr>
        <w:t xml:space="preserve">” beginning on page S-7 of this prospectus supplement and in our filings with the SEC that are incorporated by reference into this prospectus supplement before making a decision to invest in our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4722"/>
        <w:gridCol w:w="352"/>
        <w:gridCol w:w="112"/>
        <w:gridCol w:w="1221"/>
        <w:gridCol w:w="73"/>
        <w:gridCol w:w="353"/>
        <w:gridCol w:w="73"/>
        <w:gridCol w:w="770"/>
        <w:gridCol w:w="79"/>
      </w:tblGrid>
      <w:tr>
        <w:trPr/>
        <w:tc>
          <w:tcPr>
            <w:tcW w:w="4722"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4722"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5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5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5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agreed to reimburse the underwriters for certain FINRA-related offering expenses. See “Underwriting.”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granted the underwriters an option to purchase up to an additional    shares of our common stock with an aggregate public offering price of approximately $    at the public offering price, less the underwriting discount, within 30 days from the date of this prospectus supplement. </w:t>
      </w:r>
    </w:p>
    <w:p>
      <w:pPr>
        <w:pStyle w:val="TextBody"/>
        <w:bidi w:val="0"/>
        <w:spacing w:before="200" w:after="0"/>
        <w:ind w:left="960" w:right="960" w:hanging="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passed upon the accuracy or adequacy of this prospectus supplement or the accompanying prospectus. Any representation to the contrary is a criminal offense. </w:t>
      </w:r>
    </w:p>
    <w:p>
      <w:pPr>
        <w:pStyle w:val="TextBody"/>
        <w:bidi w:val="0"/>
        <w:spacing w:before="200" w:after="0"/>
        <w:ind w:left="960" w:right="960" w:hanging="0"/>
        <w:jc w:val="left"/>
        <w:rPr>
          <w:rFonts w:ascii="Times New Roman" w:hAnsi="Times New Roman"/>
          <w:sz w:val="20"/>
        </w:rPr>
      </w:pPr>
      <w:r>
        <w:rPr>
          <w:rFonts w:ascii="Times New Roman" w:hAnsi="Times New Roman"/>
          <w:sz w:val="20"/>
        </w:rPr>
        <w:t xml:space="preserve">The underwriters expect to deliver the shares of common stock against payment therefor on or about July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00" w:after="0"/>
        <w:ind w:left="960" w:right="960" w:hanging="0"/>
        <w:jc w:val="center"/>
        <w:rPr>
          <w:rFonts w:ascii="Times New Roman" w:hAnsi="Times New Roman"/>
          <w:b/>
          <w:sz w:val="28"/>
        </w:rPr>
      </w:pPr>
      <w:r>
        <w:rPr>
          <w:rFonts w:ascii="Times New Roman" w:hAnsi="Times New Roman"/>
          <w:b/>
          <w:sz w:val="28"/>
        </w:rPr>
        <w:t xml:space="preserve">Morgan Stanley   J.P. Morgan   Leerink Partners   Mizuho </w:t>
      </w:r>
    </w:p>
    <w:p>
      <w:pPr>
        <w:pStyle w:val="TextBody"/>
        <w:bidi w:val="0"/>
        <w:spacing w:before="200" w:after="0"/>
        <w:ind w:left="960" w:right="960" w:hanging="0"/>
        <w:jc w:val="center"/>
        <w:rPr>
          <w:rFonts w:ascii="Times New Roman" w:hAnsi="Times New Roman"/>
          <w:b/>
          <w:sz w:val="20"/>
        </w:rPr>
      </w:pPr>
      <w:r>
        <w:rPr>
          <w:rFonts w:ascii="Times New Roman" w:hAnsi="Times New Roman"/>
          <w:b/>
          <w:sz w:val="20"/>
        </w:rPr>
        <w:t xml:space="preserve">The date of this prospectus supplement is July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b/>
              </w:rPr>
            </w:pPr>
            <w:r>
              <w:rPr>
                <w:b/>
              </w:rPr>
              <w:t>Prospectus Supplement</w:t>
            </w:r>
          </w:p>
        </w:tc>
        <w:tc>
          <w:tcPr>
            <w:tcW w:w="62" w:type="dxa"/>
            <w:tcBorders/>
          </w:tcPr>
          <w:p>
            <w:pPr>
              <w:pStyle w:val="TableContents"/>
              <w:bidi w:val="0"/>
              <w:spacing w:before="0" w:after="0"/>
              <w:jc w:val="left"/>
              <w:rPr/>
            </w:pPr>
            <w:r>
              <w:rPr/>
              <w:t> </w:t>
            </w:r>
          </w:p>
        </w:tc>
      </w:tr>
      <w:tr>
        <w:trPr>
          <w:trHeight w:val="240" w:hRule="atLeast"/>
        </w:trPr>
        <w:tc>
          <w:tcPr>
            <w:tcW w:w="9453" w:type="dxa"/>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2">
              <w:r>
                <w:rPr>
                  <w:rStyle w:val="InternetLink"/>
                  <w:rFonts w:ascii="Times New Roman" w:hAnsi="Times New Roman"/>
                  <w:sz w:val="20"/>
                </w:rPr>
                <w:t>Special 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3">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4">
              <w:r>
                <w:rPr>
                  <w:rStyle w:val="InternetLink"/>
                  <w:rFonts w:ascii="Times New Roman" w:hAnsi="Times New Roman"/>
                  <w:sz w:val="20"/>
                </w:rPr>
                <w:t>The Offering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7">
              <w:r>
                <w:rPr>
                  <w:rStyle w:val="InternetLink"/>
                  <w:rFonts w:ascii="Times New Roman" w:hAnsi="Times New Roman"/>
                  <w:sz w:val="20"/>
                </w:rPr>
                <w:t>Dilution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8">
              <w:r>
                <w:rPr>
                  <w:rStyle w:val="InternetLink"/>
                  <w:rFonts w:ascii="Times New Roman" w:hAnsi="Times New Roman"/>
                  <w:sz w:val="20"/>
                </w:rPr>
                <w:t>Material U.S. Federal Income Tax Considerations for Non-U.S. Holders of Common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9">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0">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1">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133519_13">
              <w:r>
                <w:rPr>
                  <w:rStyle w:val="InternetLink"/>
                  <w:rFonts w:ascii="Times New Roman" w:hAnsi="Times New Roman"/>
                  <w:sz w:val="20"/>
                </w:rPr>
                <w:t>Incorporation of Documents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b/>
              </w:rPr>
            </w:pPr>
            <w:r>
              <w:rPr>
                <w:b/>
              </w:rPr>
              <w:t>Prospectus</w:t>
            </w:r>
          </w:p>
        </w:tc>
        <w:tc>
          <w:tcPr>
            <w:tcW w:w="62" w:type="dxa"/>
            <w:tcBorders/>
          </w:tcPr>
          <w:p>
            <w:pPr>
              <w:pStyle w:val="TableContents"/>
              <w:bidi w:val="0"/>
              <w:spacing w:before="0" w:after="0"/>
              <w:jc w:val="left"/>
              <w:rPr/>
            </w:pPr>
            <w:r>
              <w:rPr/>
              <w:t> </w:t>
            </w:r>
          </w:p>
        </w:tc>
      </w:tr>
      <w:tr>
        <w:trPr>
          <w:trHeight w:val="240" w:hRule="atLeast"/>
        </w:trPr>
        <w:tc>
          <w:tcPr>
            <w:tcW w:w="9453" w:type="dxa"/>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
              <w:r>
                <w:rPr>
                  <w:rStyle w:val="InternetLink"/>
                  <w:rFonts w:ascii="Times New Roman" w:hAnsi="Times New Roman"/>
                  <w:sz w:val="20"/>
                </w:rPr>
                <w:t>Special 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2">
              <w:r>
                <w:rPr>
                  <w:rStyle w:val="InternetLink"/>
                  <w:rFonts w:ascii="Times New Roman" w:hAnsi="Times New Roman"/>
                  <w:sz w:val="20"/>
                </w:rPr>
                <w:t>About this Prospectus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3">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4">
              <w:r>
                <w:rPr>
                  <w:rStyle w:val="InternetLink"/>
                  <w:rFonts w:ascii="Times New Roman" w:hAnsi="Times New Roman"/>
                  <w:sz w:val="20"/>
                </w:rPr>
                <w:t>The Company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7">
              <w:r>
                <w:rPr>
                  <w:rStyle w:val="InternetLink"/>
                  <w:rFonts w:ascii="Times New Roman" w:hAnsi="Times New Roman"/>
                  <w:sz w:val="20"/>
                </w:rPr>
                <w:t>Description of Capital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8">
              <w:r>
                <w:rPr>
                  <w:rStyle w:val="InternetLink"/>
                  <w:rFonts w:ascii="Times New Roman" w:hAnsi="Times New Roman"/>
                  <w:sz w:val="20"/>
                </w:rPr>
                <w:t>Description of Warrants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9">
              <w:r>
                <w:rPr>
                  <w:rStyle w:val="InternetLink"/>
                  <w:rFonts w:ascii="Times New Roman" w:hAnsi="Times New Roman"/>
                  <w:sz w:val="20"/>
                </w:rPr>
                <w:t>Description of Debt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0">
              <w:r>
                <w:rPr>
                  <w:rStyle w:val="InternetLink"/>
                  <w:rFonts w:ascii="Times New Roman" w:hAnsi="Times New Roman"/>
                  <w:sz w:val="20"/>
                </w:rPr>
                <w:t>Description of Rights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1">
              <w:r>
                <w:rPr>
                  <w:rStyle w:val="InternetLink"/>
                  <w:rFonts w:ascii="Times New Roman" w:hAnsi="Times New Roman"/>
                  <w:sz w:val="20"/>
                </w:rPr>
                <w:t>Description of Units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2">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3">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tx133519_14">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13351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common stock and updates the information contained in the accompanying prospectus and the documents incorporated by reference herein and therein. The second part is the accompanying prospectus, which provides more general information about securities that we may offer from time to time, some of which does not apply to this offering. To the extent the information contained in this prospectus supplement differs or varies from the information contained in the accompanying prospectus or documents previously filed with the SEC that are incorporated by reference herein, the information in this prospectus supplement will supersede such information. For a more detailed understanding of an investment in our common stock, you should read both this prospectus supplement and the accompanying prospectus, together with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shelf registration statement on Form S-3 (File No. 333-291816) that we filed with the SEC on November 26, 2025 and that became effective on December 12, 2025. Under the shelf registration process, we may from time to time offer and sell any combination of the securities described in the accompanying prospectus in one or more offerings.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underwriters have authorized anyone to provide you with information that is different from or in addition to that contained or incorporated by reference in this prospectus supplement, the accompanying prospectus or any free writing prospectus prepared by us or on our behalf. Neither we nor the underwriters take any responsibility for, and can provide no assurance as to the reliability of, any information that others may provide. Neither we nor the underwriters are making an offer to sell or soliciting an offer to buy shares of our common stock under any circumstance in any jurisdiction where the offer or solicitation is not permitted. You should not assume that the information contained in this prospectus supplement, the accompanying prospectus and any free writing prospectus is accurate as of any date other than the respective date of each of those documents, or that any information in documents that we have incorporated by reference is accurate as of any date other than the date of the document incorporated by reference, regardless of the time of delivery of this prospectus supplement or any sale of shares of our common stock hereunder. Our business, financial condition, results of operations and prospects may have changed, potentially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herein and therein by reference includes trademarks, service marks and trade names owned by us or other companies. AAVIATE, ASCENT, AFFINITY, AFFINITY BEYOND, AFFINITY DUCHENNE, ALTITUDE, ATMOSPHERE, CAMPSIITE, NAV, NAVXpress, NAVXcell, REGENXBIO and the REGENXBIO logos are our registered trademarks. All trademarks, service marks and trade names included or incorporated by reference into this prospectus supplement or the accompanying prospectus are the property of their respective owners.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in this prospectus supplement and the accompanying prospectus the terms “REGENXBIO,” the “Company,” “we,” “us,” and “our” refer to REGENXBIO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13351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herein and therein by reference contain “forward-looking statements” within the meaning of Section 27A of the Securities Act of 1933, as amended, or the Securities Act, and Section 21E of the Securities Exchange Act of 1934, as amended, or the Exchange Act, which are subject to the safe harbor created by those sections for such statements.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We have based these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development partnerships, including our collaboration with AbbVie to develop and commercialize surabgene lomparvovec (sura-vec, ABBV-RGX-314) and our collaboration with Nippon Shinyaku Co., Ltd. to develop and commercialize RGX-121 (clemidsogene lanparvovec) and RGX-111;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including under accelerated approval, and maintain regulatory approval of our product candidates and the labeling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address any deficiencies raised by the FDA regarding RGX-121 as part of the Complete Response Letter or planned BLA resubmission;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resolve the partial clinical hold for RGX-111 to the satisfaction of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enrollment, commencement, completion and the success of our AAVIATE®, AFFINITY BEYOND®, AFFINITY DUCHENNE®, ALTITUDE®, ASCENT®, ATMOSPHERE®, CAMPSIITE®, NAAVIGATE and other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commencement and completion and the success of preclinical studies conducted by us and our development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timely development and launch of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expansion and costs of developing and commercializing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product candidates and technology, and defend against third-party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development and commercialization of product candidates currently being developed by third parties that utilize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growth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trends and challenges in our business and the market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or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of the potential markets for our product candidates and the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any of our products that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expenses and revenue;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need for additional financing and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outcome of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government-imposed tariffs or other trade barriers on cost of goods and services, particularly related to partnered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markets and banking system that may affect the availability and terms on which we may obtain financing and our ability to accurately predict how long our existing cash resources will be sufficient to fund our anticipated operating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the information incorporated herein and therein by reference, particularly in the sections of such documents titled “Risk Factors” and “Management’s Discussion and Analysis of Financial Condition and Results of Operations,” and the documents that have been filed as exhibits to the registration statement of which this prospectus supplement is a part completely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Any forward-looking statement in this prospectus supplement, the accompanying prospectus, and the information incorporated herein and therein by reference speaks only as of the date of the respective document. Except as required by law, we disclaim any duty to update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133519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the accompanying prospectus, and the documents that are incorporated herein and therein by reference. This summary does not contain all of the information you should consider before making an investment decision. Before you decide to invest in our securities, you should read the entire prospectus supplement, the accompanying prospectus and the documents incorporated herein and therein carefully, including the risk factors and the financial statements and related notes contained in our Annual Report on Form 10-K for the year ended December 31, 2025 and in our Quarterly Report on Form 10-Q for the period ended March 31,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of Pipeline Candidates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developed a broad pipeline of gene therapy programs using our proprietary adeno-associated virus (“AAV”) gene therapy delivery platform (“NAV Technology Platform”) as a one-time treatment to address an array of diseases. Our lead programs and product candidates are described below: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RGX-202</w:t>
            </w:r>
            <w:r>
              <w:rPr>
                <w:rFonts w:ascii="Times New Roman" w:hAnsi="Times New Roman"/>
                <w:sz w:val="20"/>
              </w:rPr>
              <w:t xml:space="preserve">: We are developing RGX-202 as an investigational one-time AAV therapeutic for the treatment of Duchenne muscular dystrophy (“Duchenne”), using the NAV AAV8 vector to deliver a transgene for a novel microdystrophin that includes the functional elements of the C-Terminal (CT) domain as well as a muscle-specific promoter to support a targeted therapy for improved resistance to muscle damage associated with Duchenne.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AFFINITY DUCHENNE® is a Phase I/II/III ongoing multicenter, open-label dose escalation and dose expansion clinical study to evaluate the safety, tolerability and clinical efficacy of a one-time intravenous (IV) dose of RGX-202 in patients with Duchenne aged 1 to 11 years old. The pivotal phase of the trial, evaluating dose level 2, is fully enrolled (n=30).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2026, we announced positive topline results from the pivotal Phase III AFFINITY DUCHENNE trial of RGX-202, including primary endpoint (n=30 at Week 12), interim safety (n=31) and interim functional data (n=9 at 12 months):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primary endpoint was achieved with high statistical significance; 93% of patients achieved RGX-202 microdystrophin expression above 10%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7"/>
        <w:gridCol w:w="202"/>
        <w:gridCol w:w="8269"/>
      </w:tblGrid>
      <w:tr>
        <w:trPr/>
        <w:tc>
          <w:tcPr>
            <w:tcW w:w="1427"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RGX-202 was well-tolerated and continued to demonstrate a favorable interim safety profile.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3"/>
        <w:gridCol w:w="204"/>
        <w:gridCol w:w="8271"/>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RGX-202 demonstrated functional improvement and evidence of positively impacting disease trajectory at one year post-treatment, as measured by the North Star Ambulatory Assessment and timed function tests (Time to Stand, 10 Meter Walk-run, Time to Climb).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Statistically significant correlation between RGX-202 microdystrophin expression level and functional improvement, supporting validity of surrogate endpoint.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we announced the completion of dosing in the confirmatory study of RGX-202.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anticipate filing a biologics license application (“BLA”) using the accelerated approval pathway in the third quarter of 2026 for potential approval by the FDA in the second half of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recruiting patients in the AFFINITY BEYOND® trial, an observational screening study. The primary objective is to evaluate the prevalence of AAV8 antibodies in patients with Duchenne up to 12 years of age. Information collected in this study may be used to identify potential participants for the AFFINITY DUCHENNE trial and potential future trials of RGX-202.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RGX-202 is manufactured using our proprietary, high-yielding NAVXpress® platform process. This suspension-based manufacturing process has demonstrated scalability up to 2,000 liters with consistent yield and product purity. Our Manufacturing Innovation Center has the capacity and yields to produce up to 2,500 doses of RGX-202 per year to support future commercialization. We have completed manufacturing the first batches of RGX-202 intended for commercial supply and manufacturing is ongoing to build commercial inventory in advance of a potential commercial launch. The process performance qualification (PPQ) campaign is also complete.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Sura-vec (ABBV-RGX-314)</w:t>
            </w:r>
            <w:r>
              <w:rPr>
                <w:rFonts w:ascii="Times New Roman" w:hAnsi="Times New Roman"/>
                <w:sz w:val="20"/>
              </w:rPr>
              <w:t xml:space="preserve">: We are developing surabgene lomparvovec (sura-vec, ABBV-RGX-314) in collaboration with AbbVie Inc. as a potential one-time treatment for chronic retinal conditions which cause total or partial vision loss, including wet age-related macular degeneration (“wet AMD”) and diabetic retinopathy (“DR”). Sura-vec is currently being evaluated in multiple ongoing clinical trials, including two pivotal trials (ATMOSPHERE and ASCENT) where enrollment has been completed, one long-term follow-up study, and a fellow eye sub-study in patients with wet AMD, all utilizing subretinal delivery. We expect topline data from ATMOSPHERE and ASCENT to be shared in the fourth quarter of 2026 in partnership with AbbVie. Additionally, two Phase II clinical trials in patients with wet AMD (AAVIATE) and DR (ALTITUDE) are ongoing along with two corresponding long-term follow-up studies, all utilizing in-office suprachoroidal delivery. Within the Phase II study in DR, we are also evaluating sura-vec in diabetic macular edema (“DME”). Additionally, we have activated U.S. clinical sites, initiated enrollment and dosed the first patient in the Phase IIb/III NAAVIGATE trial. As a result of dosing the first patient in the NAAVIGATE trial, we have earned a $100.0 million milestone payment from AbbVie, which we expect to receive in July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NAVSUNLI (RGX-121)</w:t>
            </w:r>
            <w:r>
              <w:rPr>
                <w:rFonts w:ascii="Times New Roman" w:hAnsi="Times New Roman"/>
                <w:sz w:val="20"/>
              </w:rPr>
              <w:t xml:space="preserve">: We are developing NAVSUNLI as an investigational one-time AAV therapeutic for the treatment of Mucopolysaccharidosis Type II, also known as Hunter syndrome, using the NAV AAV9 vector to deliver the gene that encodes the iduronate-2-sulfatase enzyme. In March 2025, we submitted a BLA for RGX-121 seeking accelerated approval to the FDA. In August 2025, the FDA completed a pre-license inspection and bioresearch monitoring information inspection for the RGX-121 BLA with no observations. Also in August 2025, we announced the FDA had extended its review timeline of the RGX-121 BLA following the Company’s submission of longer-term clinical data for all patients in the pivotal study of RGX-121 (n=13) in response to an FDA information request, resulting in an extension of the Prescription Drug User Fee Act date from November 9, 2025 to February 8, 2026. In January 2026, we announced that the FDA placed the RGX-121 program on partial clinical hold in relation to a serious adverse event in a patient treated in the Phase I/II trial of RGX-111. The FDA cited the similarities in products, study populations, and shared risk between the clinical studies. In February 2026, we announced that the FDA issued a Complete Response Letter (“CRL”) regarding the BLA for RGX-121. The FDA lifted the partial clinical hold with regard to RGX-121 on April 30, 2026. As part of our appeal of the CRL, the FDA recently acknowledged the existing NAVSUNLI clinical data is sufficient to be considered for the accelerated approval pathway and that we do not need to enroll additional patients or conduct additional studies, including the FDA’s previously recommended incorporation of an untreated control arm. The FDA asked us to request a Type A meeting to review existing longer-term biomarker and clinical data and to resubmit the BLA following this meeting. We expect the Type A meeting to occur in July 2026 and to resubmit the BLA during the third quarter of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RGX-111</w:t>
            </w:r>
            <w:r>
              <w:rPr>
                <w:rFonts w:ascii="Times New Roman" w:hAnsi="Times New Roman"/>
                <w:sz w:val="20"/>
              </w:rPr>
              <w:t xml:space="preserve">: We are developing RGX-111 in collaboration with Nippon Shinyaku in the United States and certain countries in Asia as an investigational one-time AAV therapeutic for the treatment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Mucopolysaccharidosis Type I (“MPS I”), also known as Hurler syndrome, using the NAV AAV9 vector to deliver the IDUA gene. A Phase I/II study evaluating RGX-111 was initiated in 2017 and enrollment completed in 2023; prior to a strategic pipeline prioritization in November 2023 that largely halted development, RGX-111 demonstrated to be well tolerated in interim results and indicated encouraging biomarker and neurodevelopmental results. In January 2026, we announced that the FDA placed the RGX-111 program on partial clinical hold following preliminary analysis of a single case of neoplasm (intraventricular central nervous system tumor) in a participant treated in the Phase I/II study. The case was identified during a routine brain MRI of an asymptomatic five-year-old participant who received intracisternal RGX-111 four years prior. Preliminary genetic analysis of the resected tumor detected an AAV vector genome integration event associated with overexpression of a proto-oncogene (“PLAG1”), which is known to be susceptible to chromosomal rearrangements. Final analysis of the resected tumor was conducted by an independent third-party lab, and, as previously reported, detected an AAV vector genome integration event associated with overexpression of a PLAG1. The report concluded, based on formal neuropsychologic testing and developmental pediatrician assessment, that the patient’s neurocognitive development was above average, which indicated mitigation of MPS I disease, and the patient continued to do well. The analysis was published in The New England Journal of Medicine in May 2026.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of Our NAV Technology Licensing Platform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our internal product development efforts, we also selectively license the NAV Technology Platform and other intellectual property rights to other leading biotechnology and pharmaceutical companies, which we refer to as NAV Technology Licensees. As of March 31, 2026, our NAV Technology Platform was being applied in two commercial products, Zolgensma® and Itvisma® under a license agreement (the “Novartis License”) with Novartis Innovative Technologies Inc. (formerly, Novartis Gene Therapies, Inc.), a wholly-owned subsidiary of Novartis AG (“Novartis”), and the preclinical and clinical development of various other licensed products. Licensing the NAV Technology Platform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additional revenue opportunities.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mid-January 2026, licensed patents for Zolgensma under the Novartis License expired in the United States. We are entitled to continued royalties on net sales of Zolgensma in approximately 20 countries where licensed patents remain active. Licensed product made prior to patent expiration but sold after expiration may also be subject to royalties. Patents covering the use of Itvisma have issued in the United States and certain other countries and are licensed to Novartis under the Novartis License. We are entitled to ongoing royalties on certain net sales of Itvisma in these territories.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Preliminary Financial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not finalized our financial statements as of and for the quarter ended June 30, 2026. We expect to report cash, cash equivalents and marketable securities of approximately $105.5 million as of June 30, 2026, as compared to $150.5 million available as of March 31, 2026. The actual amounts that we report will be subject to our financial closing procedures and any final adjustments that may be made prior to the time our financial results for the quarter ended June 30, 2026 are finalized and filed with the SEC. The preliminary financial information as of June 30, 2026 included herein has been prepared by, and is the responsibility of, our management. PricewaterhouseCoopers LLP has not audited, reviewed, examined, compiled, or applied agreed-upon procedures with respect to the preliminary financial information. Accordingly, PricewaterhouseCoopers LLP does not express an opinion or any other form of assurance with respect thereto. This estimate should not be viewed as a substitute for financial statements prepared in accordance with accounting principles generally accepted in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States and is not necessarily indicative of the results to be achieved in any future period. Accordingly, you should not place undue reliance on this preliminary estimate. We assume no duty to update this preliminary estimate except as required by law.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we expect to receive a $100.0 million milestone payment from AbbVie in July 2026 in connection with the dosing of the first patient in the Phase IIb/III NAAVIGATE clinical trial for sura-vec. We believe our cash, cash equivalents and marketable securities as of June 30, 2026, along with the $100.0 million milestone payment expected to be received from AbbVie in July 2026, are sufficient to fund operations into the second quarter of 2027. This estimate is based on our current operating plan and excludes the potential effects of this offering or any future financings or any other material milestone payments that may be received under our licensing and collaboration arrangements. We have based this estimate on assumptions that may prove to be wrong, and we could exhaust our capital resources sooner than expected.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2008. Our principal executive offices are located at 9804 Medical Center Drive, Rockville, Maryland 20850, and our telephone number is (240) 552-8181. Our website address is www.regenxbio.com. The information on our website is not incorporated by reference into this prospectus supplement or the accompanying prospectus and should not be considered to be part of this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133519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REGENXBIO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   </w:t>
            </w:r>
            <w:r>
              <w:rPr/>
              <w:t xml:space="preserve">shares of our common stock with an aggregate public offering price of approximately $  .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w:t>
            </w:r>
          </w:p>
        </w:tc>
        <w:tc>
          <w:tcPr>
            <w:tcW w:w="6328" w:type="dxa"/>
            <w:tcBorders/>
          </w:tcPr>
          <w:p>
            <w:pPr>
              <w:pStyle w:val="TableContents"/>
              <w:bidi w:val="0"/>
              <w:spacing w:before="0" w:after="283"/>
              <w:jc w:val="left"/>
              <w:rPr/>
            </w:pPr>
            <w:r>
              <w:rPr/>
              <w:t xml:space="preserve">The underwriters have the option to purchase up to an additional    shares of our common stock with an aggregate public offering price of approximately $  , which they may exercise, in whole or in part, for a period of 30 days from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9" w:type="dxa"/>
            <w:tcBorders/>
          </w:tcPr>
          <w:p>
            <w:pPr>
              <w:pStyle w:val="TableContents"/>
              <w:bidi w:val="0"/>
              <w:spacing w:before="0" w:after="20"/>
              <w:jc w:val="left"/>
              <w:rPr/>
            </w:pPr>
            <w:r>
              <w:rPr/>
              <w:t xml:space="preserve">   </w:t>
            </w:r>
            <w:r>
              <w:rPr>
                <w:rFonts w:ascii="Times New Roman" w:hAnsi="Times New Roman"/>
                <w:sz w:val="20"/>
              </w:rPr>
              <w:t xml:space="preserve">shares, or    shares if the underwriters’ option to purchase additional shares is exercised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estimate that the net proceeds from this offering will be approximately $   million, after deducting the underwriting discounts and commissions and estimated offering expenses payable by us. We intend to use the net proceeds from the offering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as well as to pay off outstanding indebtedness, if any, or acquire or invest in businesses, products or technologies.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“Use of Proceeds” on page S-9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our common stock involves significant risks. See “Risk Factors” beginning on page S-7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listing </w:t>
            </w:r>
          </w:p>
        </w:tc>
        <w:tc>
          <w:tcPr>
            <w:tcW w:w="6329" w:type="dxa"/>
            <w:tcBorders/>
          </w:tcPr>
          <w:p>
            <w:pPr>
              <w:pStyle w:val="TableContents"/>
              <w:bidi w:val="0"/>
              <w:spacing w:before="0" w:after="283"/>
              <w:jc w:val="left"/>
              <w:rPr/>
            </w:pPr>
            <w:r>
              <w:rPr/>
              <w:t xml:space="preserve">Our common stock is listed on Nasdaq under the symbol “RGNX.”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immediately after this offering, as stated above, is based on 51,617,233 shares outstanding as of March 31, 2026, and excludes as of that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11,579,090 shares of our common stock issuable upon the exercise of stock options outstanding as of March 31, 2026 at a weighted average exercise price of $25.03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3,495,485 shares of our common stock issuable pursuant to unvested restricted stock units and performance stock units outstanding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4,121,339 shares of common stock reserved for issuance under our 2025 Equity Incentive Plan and 662,624 shares reserved for issuance under our 2015 Employee Stock Purchase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869,603 shares of common stock issuable upon the exercise of pre-funded warrants outstanding as of March 31, 2026, at a weighted average exercise price of $0.0001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268,096 shares of common stock issuable upon the exercise of warrants outstanding as of March 31, 2026, at a weighted average exercise price of $14.92 per share.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Subsequent to March 31, 2026 and as of the date of this prospectus supplement, an additional 2,318,735 shares of our common stock have been issued and sold pursuant to our at-the-market offering program.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we commenced an offer to certain non-executive employee optionholders to exchange certain eligible outstanding stock options for replacement options under our 2025 Equity Incentive Plan. The offer expired on July 1, 2026. Pursuant to the offer, we accepted for exchange options to purchase 1,940,394 shares of common stock, representing approximately 67.0% of the shares underlying eligible options. All tendered eligible options were canceled effective July 2, 2026, and on the same day, in exchange therefor, we granted replacement options to purchase 775,401 shares of our common stock at an exercise price of $13.28 per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the prospectus supplement, including the number of shares of common stock outstanding immediately after this offering, excludes the shares referenced above and assumes no exercise by the underwriters of their option to purchase    additional shares of common stock from us within 30 days of the date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133519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common stock involves a high degree of risk. Before deciding whether to invest in our common stock, you should consider carefully the risks described below and discussed under the sections captioned “Risk Factors” in Part I, Item 1A of our Annual Report on Form 10-K for the year ended December 31, 2025, which is incorporated by reference in this prospectus supplement and the accompanying prospectus in its entirety, together with other information in this prospectus supplement, the accompanying prospectus, and the information and documents incorporated by reference that we have authorized for use in connection with this offering. If any of these risks actually occur, our business, financial condition, results of operations or cash flows could be seriously harmed. This could cause the trading price of our common stock to decline, resulting in a loss of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As an investor participating in this offering, you will experience immediate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of our common stock being offered is substantially higher than the net tangible book value per share of our common stock outstanding prior to this offering. As a result, investors purchasing common stock in this offering will experience dilution to the extent of the difference between the public offering price per share and the net tangible book value per share of our common stock. After giving effect to the sale of      shares of our common stock in this offering at the offering price of $     per share and based on our net tangible book value as of March 31, 2026 of $0.41 per share, if you purchase shares of common stock in this offering you will suffer substantial and immediate dilution of $     per share in the net tangible book value of the common stock. The future exercise of outstanding options and vesting of restricted stock units will result in further dilution of your investment. See the section entitled “Dilution” below for a more detailed discussion of the dilution you will incur if you purchase common stock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will have broad discretion over the actual amounts and timing of the expenditures of the proceeds we receive in this offering and might not apply the proceeds in ways that enhance our financial condition or operating results or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we receive from this offering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as well as to pay off outstanding indebtedness, if any, or acquire or invest in businesses, products or technologies. This expected use of our net proceeds from this offering represents our intention based upon our current plans and business conditions. The amount and timing of our actual expenditures may vary significantly depending on numerous factors, including success of our product candidate development and any potential commercialization efforts, cash generated from future operations, if any, and actual expenses to operate our business. Because of the number and variability of factors that will determine our use of the proceeds from this offering, their ultimate use may vary substantially from their currently intended use. As a result, our management will retain broad discretion over the allocation of the net proceeds we receive from this offering and could spend the proceeds in ways that do not necessarily improve our financial condition or operating results or enhance the value of our common stock and your investment therein. Additionally, until the net proceeds we receive are used, they may be placed in investments that do not produce income or that lose value. See “Use of Proceeds” located elsewhere in this prospectus supplement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common stock or other securities convertible into our common stock, or the perception that such sales or issuances could occur, could cause the market value of our common stock to decline and could result in dilution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without stockholder approval, to cause us to issue additional shares of our common stock or to raise capital through the issuance of preferred stock or the sale of debt securities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convertible into common stock, options, warrants and other rights, on terms and for consideration as our board of directors in its sole discretion may determine. Sales of substantial amounts of our common stock or the issuance of preferred stock, options, restricted stock units, performance stock units, warrants and other rights, or the perception that such sales or issuances could occur, could cause the market price of our common stock to decrease significantly. We cannot predict the effect, if any, of future sales of our common stock, including shares issued pursuant to this offering, or any preferred stock, convertible debt securities, options, restricted stock units, performance stock units, warrants or other rights or the availability of our common stock for future sales on the value of our common stock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existing cash resources may not be sufficient to fund our operations for the next 12 months. </w:t>
      </w:r>
    </w:p>
    <w:p>
      <w:pPr>
        <w:pStyle w:val="TextBody"/>
        <w:bidi w:val="0"/>
        <w:spacing w:before="120" w:after="0"/>
        <w:jc w:val="left"/>
        <w:rPr>
          <w:rFonts w:ascii="Times New Roman" w:hAnsi="Times New Roman"/>
          <w:sz w:val="20"/>
        </w:rPr>
      </w:pPr>
      <w:r>
        <w:rPr>
          <w:rFonts w:ascii="Times New Roman" w:hAnsi="Times New Roman"/>
          <w:sz w:val="20"/>
        </w:rPr>
        <w:t xml:space="preserve">Our existing cash, cash equivalents, and marketable securities may not be sufficient to fund our operating expenses and capital requirements for at least the next 12 months from the date of this prospectus supplement. As a result, there is substantial doubt about our ability to continue as a going concern. Drug development is a lengthy, expensive, and uncertain process, and our product candidates may fail at any stage of development. Our ability to continue as a going concern is dependent on the successful development, regulatory approval, and commercialization of our product candidates. Our financial statements for the year ended December 31, 2025 and the quarter ended March 31, 2026 include disclosures indicating that there is substantial doubt about our ability to continue as a going concern. This disclosure may adversely affect investor confidence, our stock price, and our ability to raise additional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13351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$    million, or approximately $    million if the underwriters exercise in full their option to purchase additional shares,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currently plan to use the net proceeds we receive from this offering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as well as to pay off outstanding indebtedness, if any, or acquire or invest in businesses, products or technologies. </w:t>
      </w:r>
    </w:p>
    <w:p>
      <w:pPr>
        <w:pStyle w:val="TextBody"/>
        <w:bidi w:val="0"/>
        <w:spacing w:before="240" w:after="0"/>
        <w:jc w:val="left"/>
        <w:rPr>
          <w:rFonts w:ascii="Times New Roman" w:hAnsi="Times New Roman"/>
          <w:sz w:val="20"/>
        </w:rPr>
      </w:pPr>
      <w:r>
        <w:rPr>
          <w:rFonts w:ascii="Times New Roman" w:hAnsi="Times New Roman"/>
          <w:sz w:val="20"/>
        </w:rPr>
        <w:t xml:space="preserve">The expected use of net proceeds of this offering represents our current intentions based upon our present plans and business conditions. The amounts we actually expend in these areas may vary significantly from our current intentions and will depend upon a number of factors, including success of our product candidate development and any potential commercialization efforts, cash generated from future operations, if any, and actual expenses to operate our business. As of the date of this prospectus supplement, we cannot specify with certainty all of the particular uses for the net proceeds to be received upon the closing of this offering. Accordingly, our management will have broad discretion in the application of the net proceeds, and investors will be relying on the judgment of our management regarding the application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Pending use of proceeds from this offering, we intend to invest the proceeds in a variety of capital preservation investments, including long-term and short-term,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133519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price per share of our common stock you pay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our net tangible book value was $21.1 million, or approximately $0.41 per share of common stock. Net tangible book value per share is equal to our total tangible assets, less our total liabilities, divided by the number of outstanding shares of our common stock. Dilution with respect to net tangible book value per share represents the difference between the amount per share paid by purchasers of shares of common stock in this offering and the net tangible book value per share of our common stock immediately after this offering. After giving effect to the sale of shares of common stock in this offering, after deducting underwriting discounts and commissions and estimated offering expenses payable by us, at the public offering price of $    per share, our as adjusted net tangible book value as of March 31, 2026 would have been approximately $    million, or approximately $    per share of common stock. This represents an immediate increase in net tangible book value of $    per share to our existing stockholders and an immediate dilution of $    per share to investors participating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amounts in the table below assume no exercise by the underwriters of their option to purchase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174"/>
        <w:gridCol w:w="267"/>
        <w:gridCol w:w="60"/>
        <w:gridCol w:w="754"/>
        <w:gridCol w:w="60"/>
        <w:gridCol w:w="267"/>
        <w:gridCol w:w="60"/>
        <w:gridCol w:w="867"/>
        <w:gridCol w:w="63"/>
      </w:tblGrid>
      <w:tr>
        <w:trPr/>
        <w:tc>
          <w:tcPr>
            <w:tcW w:w="6174"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174"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2026</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$ 0.41</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17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74"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on March 31, 2026 after giving effect to this offering</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7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purchasing common stock in this offering</w:t>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17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shares of our common stock in full in this offering, the increase in as adjusted net tangible book value per share to existing stockholders would be $    per share and the dilution to purchasers of common stock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are calculated based on 51,617,233 shares of our common stock that were outstanding on March 31, 2026 and exclude as of that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11,579,090 shares of our common stock issuable upon the exercise of stock options outstanding as of March 31, 2026 at a weighted average exercise price of $25.03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3,495,485 shares of our common stock issuable pursuant to unvested restricted stock units and performance stock units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4,121,339 shares of common stock reserved for issuance under our 2025 Equity Incentive Plan and 662,624 shares reserved for issuance under our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869,603 shares of common stock issuable upon the exercise of pre-funded warrants outstanding as of March 31, 2026, at a weighted average exercise price of $0.0001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268,096 shares of common stock issuable upon the exercise of warrants outstanding as of March 31, 2026, at a weighted average exercise price of $14.92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Subsequent to March 31, 2026 and as of the date of this prospectus supplement, an additional 2,318,735 shares of our common stock have been issued and sold pursuant to our at-the-market offering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June 2026, we commenced an offer to certain non-executive employee optionholders to exchange certain eligible outstanding stock options for replacement options under our 2025 Equity Incentive Plan. The offer expired on July 1, 2026. Pursuant to the offer, we accepted for exchange options to purchase 1,940,394 shares of common stock, representing approximately 67.0% of the shares underlying eligible options. All tendered eligible options were canceled effective July 2, 2026, and on the same day, in exchange therefor, we granted replacement options to purchase 775,401 shares of our common stock at an exercise price of $13.28 per share. </w:t>
      </w:r>
    </w:p>
    <w:p>
      <w:pPr>
        <w:pStyle w:val="TextBody"/>
        <w:bidi w:val="0"/>
        <w:spacing w:before="240" w:after="0"/>
        <w:jc w:val="left"/>
        <w:rPr>
          <w:rFonts w:ascii="Times New Roman" w:hAnsi="Times New Roman"/>
          <w:sz w:val="20"/>
        </w:rPr>
      </w:pPr>
      <w:r>
        <w:rPr>
          <w:rFonts w:ascii="Times New Roman" w:hAnsi="Times New Roman"/>
          <w:sz w:val="20"/>
        </w:rPr>
        <w:t xml:space="preserve">New investors will experience further dilution if any of our outstanding warrants or options are exercised, outstanding restricted stock units are vested or settled, or new equity awards are granted and exercised or settled under our equity incentive plans. Furthermore, we may choose to raise additional capital through the sale of equity or convertible debt securities due to market conditions or strategic considerations, even if we believe we have sufficient funds for our current or future operating plans. To the extent that we raise additional capital in this manner, the issuance of such securities could result in further dilution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133519_8"/>
      <w:bookmarkEnd w:id="10"/>
      <w:r>
        <w:rPr>
          <w:rFonts w:ascii="Times New Roman" w:hAnsi="Times New Roman"/>
          <w:b/>
          <w:sz w:val="20"/>
        </w:rPr>
        <w:t xml:space="preserve">MATERIAL U.S. FEDERAL INCOME TAX CONSIDERATIONS FOR NON-U.S.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describes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and does not address any estate or gift tax consequences or any tax consequences arising under any state, local or foreign tax laws, or any other U.S. federal tax laws, including alternative minimum tax laws. This discussion is based on the Internal Revenue Code of 1986, as amended, or the Code, Treasury Regulations promulgated thereunder, judicial decisions and published rulings and administrative pronouncements of the Internal Revenue Service, or IRS, all as in effect as of the date of this prospectus supplement. These authorities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who purchase our common stock issued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 without limitation, certain former citizens or long-term residents of the United States, partnerships or other pass-through entities, a non-U.S. governmental or sovereign entity or any entity qualifying under Section 892 of the Code, corporations that accumulate earnings to avoid U.S. federal income tax, banks, financial institutions, insurance companies, brokers, dealers or traders in securities, tax-exempt organizations, tax-qualified retirement plans and persons holding our common stock as part of a hedging or conversion transaction or straddle, or a constructive sale, or other risk reduction strategy.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common stock, the U.S. federal income tax treatment of a partner will generally depend on the status of the partner and the activities of the partnership. Partnerships holding our common stock and the partners in such partnerships are urged to consult their tax advisors as to particular U.S. federal income tax consequences to them of holding and disposing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U.S. FEDERAL INCOME TAX CONSEQUENCES TO THEM OF ACQUIRING, OWNING AND DISPOSING OF OUR COMMON STOCK IN THEIR PARTICULAR CIRCUMSTANCES, AS WELL AS ANY TAX CONSEQUENCES ARISING UNDER ANY STATE, LOCAL OR FOREIGN TAX LAWS AND ANY OTHER U.S. FEDERAL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not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does not have in effect a valid election under Treasury Regulations to be treated as a United States person and either (1) no court within the United States is able to exercise primary supervision over the trust’s administration or (2) no United States person has the authority to control all substantial decisions of that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Distributions on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we distribute cash or other property in respect of our common stock, such distributions will constitute dividends for U.S. federal income tax purposes to the extent of our current or accumulated earnings and profits, as determined under U.S. federal income tax principles. To the extent a distribution with respect to our shares exceeds our current or accumulated earnings and profits, the amount will not be treated as a dividend. Amounts not treated as dividends for U.S. federal income tax purposes will constitute a return of capital to the extent of the holder’s tax basis in our common stock, and, thereafter, as gain realized on the sale or other disposition of our common stock, which is taxed as described in the section of this prospectus supplement titled “—Gain on sale, exchange, or other taxable disposition of our common stock” below.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backup withholding and FATCA (defined below), dividends (out of earnings and profits)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paying agent a valid IRS Form W-8BEN or IRS Form W-8BEN-E (or applicable successor form) including a U.S. taxpayer identification number and certifying under penalties of perjury such holder’s qualification for the reduced rate. This certification must be provided to us or our paying agent prior to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that do not timely provide the required certification, but that qualify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the U.S. federal withholding tax discussed in the previous paragraph. To claim the exemption, the non-U.S. holder must generally timely furnish to us or our paying agent a properly executed IRS Form W-8ECI (or applicable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Any dividends paid on our common stock that are effectively connected with a non-U.S. holder’s U.S. trade or business (and if required by an applicable income tax treaty, are attributable to a permanent establishment or fixed base maintained by the non-U.S. holder in the United States)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reduced rates of withholding on dividends, or branch profits tax. </w:t>
      </w:r>
    </w:p>
    <w:p>
      <w:pPr>
        <w:pStyle w:val="TextBody"/>
        <w:bidi w:val="0"/>
        <w:spacing w:before="360" w:after="0"/>
        <w:jc w:val="left"/>
        <w:rPr>
          <w:rFonts w:ascii="Times New Roman" w:hAnsi="Times New Roman"/>
          <w:b/>
          <w:sz w:val="20"/>
        </w:rPr>
      </w:pPr>
      <w:r>
        <w:rPr>
          <w:rFonts w:ascii="Times New Roman" w:hAnsi="Times New Roman"/>
          <w:b/>
          <w:sz w:val="20"/>
        </w:rPr>
        <w:t xml:space="preserve">Gain on sale, exchange, or other taxable disposition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FATCA, a non-U.S. holder generally will not be subject to U.S. federal income tax on any gain realized upon the sale, exchange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in which case the non-U.S. holder generally will be subject to United States federal income tax on a net income basis with respect to such gain in the same manner as if such holder were a resident of the United States and, if the non-U.S. holder is a corporation for United States federal income tax purposes, may be subject to additional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branch profits tax equal to 30% (or such lower rate specified by an applicable income tax treaty) of its effectively connected gains for the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disposition, and certain other requirements are met, in which case the non-U.S. holder generally will be subject to United States federal income tax at a 30% rate (or at a lower rate under an applicable income tax treaty) on the gain derived from the sale, which gain may be offset by U.S.-source capital losses for the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stock in a United States real property holding corporation, or USRPHC, for U.S. federal income tax purposes at any time within the shorter of the five-year period preceding the disposition or the non-U.S. holder’s holding period for our common stock (the “relevant period”) and the non-U.S. holder (i) disposes of our shares during a calendar year when our shares are no longer regularly traded on an established securities market or (ii) owned (directly, indirectly, and constructively) more than 5% of our shares at any time during the relevant period, in which case such a non-U.S. holder will be subject to tax on the gain on the disposition of shares generally as if the gain were effectively connected with the conduct of a trade or business in the United States, except that the branch profits tax will not apply.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determination of whether we are a USRPHC depends on the fair market value of our U.S. real property interests relative to the fair market value of our other trade or business assets and our foreign real property interests. Though no assurances can be made, we believe we are not currently, and we do not anticipate becoming, a USRPHC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an income tax treaty or other agreement with the tax authorities in the country in which the non-U.S. holder resides or is established. Backup withholding, currently at a 24% rate, generally will not apply to payments to a non-U.S. holder of dividends or on the gross proceeds of a disposition of our common stock provided the non-U.S. holder furnishes the required certification as to its non-U.S. status, such as by providing a valid IRS Form W-8BEN, IRS Form W-8BEN-E, IRS Form W-8EXP or IRS Form W-8ECI, or if certain other requirements are met. Notwithstanding the foregoing, backup withholding may apply if the payor has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 non-U.S. holder generally may obtain a refund of any amounts withheld under the backup withholding rules that exceed the non-U.S. holder’s income tax liability by timely filing a refund claim with the Internal Revenue Service. If any amount is withheld under the backup withholding rules, the non-U.S. holder should consult with a U.S. tax advisor regarding the possibility of and procedure for obtaining a refund or a credit against the non-U.S. holder’s U.S. federal income tax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and Treasury Regulations issued thereunder (commonly referred to as the Foreign Account Tax Compliance Act, or FATCA) impose a 30% withholding tax on dividends paid on our shares to, and (subject to the proposed Treasury Regulations discussed below) the gross proceeds derived from the sale or other disposition of our shares by, a foreign entity if the foreign entity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financial institution” (as defined under FATCA) that does not furnish proper documentation, typically on IRS Form W-8BEN-E, evidencing either (i) an exemption from FATCA withholding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“non-financial foreign entity” (as defined under FATCA) that does not provide sufficient documentation, typically on IRS Form W-8BEN-E, evidencing either (i) an exemption from FATCA or (ii) adequate information regarding substantial United States beneficial owners of such entity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Withholding under FATCA generally applies to payments of dividends on our shares and to payments of gross proceeds from a sale or other disposition of our shares. Withholding agents may, however, rely on proposed U.S. Treasury Regulations that would no longer require FATCA withholding on payments of gross proceeds. A withholding agent such as a broker, and not REGENXBIO, will determine whether or not to implement gross proceeds FATCA withholding. </w:t>
      </w:r>
    </w:p>
    <w:p>
      <w:pPr>
        <w:pStyle w:val="TextBody"/>
        <w:bidi w:val="0"/>
        <w:spacing w:before="240" w:after="0"/>
        <w:jc w:val="left"/>
        <w:rPr>
          <w:rFonts w:ascii="Times New Roman" w:hAnsi="Times New Roman"/>
          <w:sz w:val="20"/>
        </w:rPr>
      </w:pPr>
      <w:r>
        <w:rPr>
          <w:rFonts w:ascii="Times New Roman" w:hAnsi="Times New Roman"/>
          <w:sz w:val="20"/>
        </w:rPr>
        <w:t xml:space="preserve">If a dividend payment is subject to withholding both under FATCA and the withholding tax rules discussed above under “—Dividends,” the withholding under FATCA may be credited against, and therefore reduce, such other withholding tax. Holders of shares should consult their own tax advisors regarding these requirements and whether they may be relevant to their ownership and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a non-U.S. holder will be eligible for refunds or credits of withholding taxes imposed under FATCA by filing a United States federal income tax return. Prospective investors should consult their tax advisors regarding the effect of FATCA on their ownership and disposition of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133519_9"/>
      <w:bookmarkEnd w:id="11"/>
      <w:r>
        <w:rPr>
          <w:rFonts w:ascii="Times New Roman" w:hAnsi="Times New Roman"/>
          <w:b/>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J.P. Morgan Securities LLC, Leerink Partners LLC and Mizuho Securities USA LLC are acting as representatives, have severally agreed to purchase, and we have agreed to sell to them, severally, the number of shares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60"/>
        <w:gridCol w:w="282"/>
        <w:gridCol w:w="65"/>
        <w:gridCol w:w="1069"/>
        <w:gridCol w:w="63"/>
      </w:tblGrid>
      <w:tr>
        <w:trPr/>
        <w:tc>
          <w:tcPr>
            <w:tcW w:w="54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2"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vAlign w:val="bottom"/>
          </w:tcPr>
          <w:p>
            <w:pPr>
              <w:pStyle w:val="TableContents"/>
              <w:bidi w:val="0"/>
              <w:spacing w:before="0" w:after="283"/>
              <w:jc w:val="left"/>
              <w:rPr/>
            </w:pPr>
            <w:r>
              <w:rPr/>
              <w:t>Morgan Stanley &amp; Co. LLC</w:t>
            </w:r>
          </w:p>
        </w:tc>
        <w:tc>
          <w:tcPr>
            <w:tcW w:w="28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pPr>
            <w:r>
              <w:rPr/>
              <w:t>J.P. Morgan Securities LLC</w:t>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vAlign w:val="bottom"/>
          </w:tcPr>
          <w:p>
            <w:pPr>
              <w:pStyle w:val="TableContents"/>
              <w:bidi w:val="0"/>
              <w:spacing w:before="0" w:after="283"/>
              <w:jc w:val="left"/>
              <w:rPr/>
            </w:pPr>
            <w:r>
              <w:rPr/>
              <w:t>Leerink Partners LLC</w:t>
            </w:r>
          </w:p>
        </w:tc>
        <w:tc>
          <w:tcPr>
            <w:tcW w:w="28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pPr>
            <w:r>
              <w:rPr/>
              <w:t>Mizuho Securities USA LLC</w:t>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substantially the same percentage of the additional shares of common stock as the number listed next to such underwriter’s name in the preceding table bears to the total number of shares of common stock listed next to the names of all underwriters in the preceding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24"/>
        <w:gridCol w:w="644"/>
        <w:gridCol w:w="1040"/>
        <w:gridCol w:w="644"/>
        <w:gridCol w:w="1235"/>
        <w:gridCol w:w="644"/>
        <w:gridCol w:w="1341"/>
      </w:tblGrid>
      <w:tr>
        <w:trPr/>
        <w:tc>
          <w:tcPr>
            <w:tcW w:w="3024" w:type="dxa"/>
            <w:tcBorders/>
            <w:vAlign w:val="center"/>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024"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left"/>
              <w:rPr/>
            </w:pPr>
            <w:r>
              <w:rPr/>
              <w:t>  </w:t>
            </w:r>
          </w:p>
        </w:tc>
        <w:tc>
          <w:tcPr>
            <w:tcW w:w="4904" w:type="dxa"/>
            <w:gridSpan w:val="5"/>
            <w:tcBorders>
              <w:bottom w:val="single" w:sz="8" w:space="0" w:color="000000"/>
            </w:tcBorders>
            <w:tcMar>
              <w:bottom w:w="28" w:type="dxa"/>
            </w:tcMar>
            <w:vAlign w:val="bottom"/>
          </w:tcPr>
          <w:p>
            <w:pPr>
              <w:pStyle w:val="TableContents"/>
              <w:bidi w:val="0"/>
              <w:spacing w:before="0" w:after="283"/>
              <w:jc w:val="center"/>
              <w:rPr>
                <w:b/>
              </w:rPr>
            </w:pPr>
            <w:r>
              <w:rPr>
                <w:b/>
              </w:rPr>
              <w:t>Total</w:t>
            </w:r>
          </w:p>
        </w:tc>
      </w:tr>
      <w:tr>
        <w:trPr/>
        <w:tc>
          <w:tcPr>
            <w:tcW w:w="3024"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44" w:type="dxa"/>
            <w:tcBorders/>
            <w:vAlign w:val="bottom"/>
          </w:tcPr>
          <w:p>
            <w:pPr>
              <w:pStyle w:val="TableContents"/>
              <w:bidi w:val="0"/>
              <w:spacing w:before="0" w:after="283"/>
              <w:jc w:val="left"/>
              <w:rPr/>
            </w:pPr>
            <w:r>
              <w:rPr/>
              <w:t>  </w:t>
            </w:r>
          </w:p>
        </w:tc>
        <w:tc>
          <w:tcPr>
            <w:tcW w:w="1235" w:type="dxa"/>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44" w:type="dxa"/>
            <w:tcBorders/>
            <w:vAlign w:val="bottom"/>
          </w:tcPr>
          <w:p>
            <w:pPr>
              <w:pStyle w:val="TableContents"/>
              <w:bidi w:val="0"/>
              <w:spacing w:before="0" w:after="283"/>
              <w:jc w:val="left"/>
              <w:rPr/>
            </w:pPr>
            <w:r>
              <w:rPr/>
              <w:t>  </w:t>
            </w:r>
          </w:p>
        </w:tc>
        <w:tc>
          <w:tcPr>
            <w:tcW w:w="1341" w:type="dxa"/>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r>
      <w:tr>
        <w:trPr/>
        <w:tc>
          <w:tcPr>
            <w:tcW w:w="3024" w:type="dxa"/>
            <w:tcBorders/>
            <w:shd w:fill="CCEEFF" w:val="clear"/>
            <w:vAlign w:val="bottom"/>
          </w:tcPr>
          <w:p>
            <w:pPr>
              <w:pStyle w:val="TableContents"/>
              <w:bidi w:val="0"/>
              <w:spacing w:before="0" w:after="283"/>
              <w:jc w:val="left"/>
              <w:rPr/>
            </w:pPr>
            <w:r>
              <w:rPr/>
              <w:t>Public offering price</w:t>
            </w:r>
          </w:p>
        </w:tc>
        <w:tc>
          <w:tcPr>
            <w:tcW w:w="644"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left"/>
              <w:rPr>
                <w:sz w:val="4"/>
                <w:szCs w:val="4"/>
              </w:rPr>
            </w:pPr>
            <w:r>
              <w:rPr>
                <w:sz w:val="4"/>
                <w:szCs w:val="4"/>
              </w:rPr>
            </w:r>
          </w:p>
        </w:tc>
      </w:tr>
      <w:tr>
        <w:trPr/>
        <w:tc>
          <w:tcPr>
            <w:tcW w:w="3024" w:type="dxa"/>
            <w:tcBorders/>
            <w:vAlign w:val="bottom"/>
          </w:tcPr>
          <w:p>
            <w:pPr>
              <w:pStyle w:val="TableContents"/>
              <w:bidi w:val="0"/>
              <w:spacing w:before="0" w:after="283"/>
              <w:jc w:val="left"/>
              <w:rPr/>
            </w:pPr>
            <w:r>
              <w:rPr/>
              <w:t>Underwriting discounts and commissions</w:t>
            </w:r>
          </w:p>
        </w:tc>
        <w:tc>
          <w:tcPr>
            <w:tcW w:w="644"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left"/>
              <w:rPr>
                <w:sz w:val="4"/>
                <w:szCs w:val="4"/>
              </w:rPr>
            </w:pPr>
            <w:r>
              <w:rPr>
                <w:sz w:val="4"/>
                <w:szCs w:val="4"/>
              </w:rPr>
            </w:r>
          </w:p>
        </w:tc>
      </w:tr>
      <w:tr>
        <w:trPr/>
        <w:tc>
          <w:tcPr>
            <w:tcW w:w="3024" w:type="dxa"/>
            <w:tcBorders/>
            <w:shd w:fill="CCEEFF" w:val="clear"/>
            <w:vAlign w:val="bottom"/>
          </w:tcPr>
          <w:p>
            <w:pPr>
              <w:pStyle w:val="TableContents"/>
              <w:bidi w:val="0"/>
              <w:spacing w:before="0" w:after="283"/>
              <w:jc w:val="left"/>
              <w:rPr/>
            </w:pPr>
            <w:r>
              <w:rPr/>
              <w:t>Proceeds, before expenses, to us</w:t>
            </w:r>
          </w:p>
        </w:tc>
        <w:tc>
          <w:tcPr>
            <w:tcW w:w="644"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$   . We have agreed to reimburse the underwriters for expense relating to clearance of this offering with the Financial Industry Regulatory Authority up to $5,000. In accordance with FINRA Rule 5110, the reimbursed fee is deemed underwriting compensation for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common stock is listed on Nasdaq under the trading symbol “RGNX.” </w:t>
      </w:r>
    </w:p>
    <w:p>
      <w:pPr>
        <w:pStyle w:val="TextBody"/>
        <w:bidi w:val="0"/>
        <w:spacing w:before="240" w:after="0"/>
        <w:jc w:val="left"/>
        <w:rPr>
          <w:rFonts w:ascii="Times New Roman" w:hAnsi="Times New Roman"/>
          <w:sz w:val="20"/>
        </w:rPr>
      </w:pPr>
      <w:r>
        <w:rPr>
          <w:rFonts w:ascii="Times New Roman" w:hAnsi="Times New Roman"/>
          <w:sz w:val="20"/>
        </w:rPr>
        <w:t xml:space="preserve">We and all directors and officers and their affiliates have agreed that, without the prior written consent of Morgan Stanley &amp; Co. LLC (“Morgan Stanley”), J.P. Morgan Securities LLC (“J.P. Morgan”) and Leerink Partners LLC (“Leerink Partners”), on behalf of the underwriters, we and they will not, during the period ending 60 days after the date of this prospectus supplement, or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agreed that, without the prior written consent of Morgan Stanley, J.P. Morgan and Leerink Partners, on behalf of the underwriters, we will not, during the restricted period, file any registration statement with the SEC relating to the offering of any shares of common stock or any securities convertible into or exercisable or exchangeable for common stock, and each of our directors and officers and their affiliates has agreed that, without the prior written consent of Morgan Stanley, J.P. Morgan and Leerink Partners, on behalf of the underwriters, he, she or it will not, during the restricted period, make any demand for, or exercise any right with respect to, the registration of any shares of common stock or any security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as a bona fide gift including without limitation to a charitable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distributions of shares of common stock or any security convertible into or exercisable or exchangeable for common stock to limited partners, general partners, managers, directors, officers, employees, members, stockholders or trust beneficiaries or to any controlled investment fund or other entity, including transfers or distributions of such securities to a fund managed by the same manager or managing member or general partner or management company or by an entity controlling, controlled by, or under common control with such manager or managing member or general partner or managing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common stock by will or other testamentary document or by intestacy;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to any trust for the direct or indirect benefit of immediate family members in a transaction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common stock acquired in open market transactions after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options to purchase shares of common stock granted under a stock incentive plan or stock purchase plan described in this prospectus supplement or the exercise of warrants to purchase shares of common stock (or any security convertible into or exercisable or exchangeable for common stock) described in this prospectus supplement and outstanding as of the date of this prospectus supplement, provided that the underlying common stock continues to be subject to the restrictions set forth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options to purchase shares of common stock granted under a stock incentive plan or stock purchase plan described in this prospectus supplement pursuant to an arrangement whereby we withhold shares issuable pursuant to such option in payment of the exercise price, provided that the underlying common stock continues to be subject to the restrictions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common stock or any security convertible into or exchangeable for common stock that occurs by operation of law pursuant to a qualified domestic order or in connection with a divorce settlement or other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that satisfies the requirements of Rule 10b5-1 under the Exchange Act for the transfer of shares of common stock, provided that (x) no filing under Section 16(a) of the Exchange Act reporting a reduction in beneficial ownership of shares of common stock shall be voluntarily made during the restricted period and (y) to the extent a filing under Section 16(a) of the Exchange Act is required during the restricted period as a result of transfers under this bullet point, it shall clearly indicate that the filing relates to the circumstance described in this bullet point, including that the securities remain subject to the terms of the these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to us of common stock upon a vesting event or upon the exercise of options or warrants to purchase common stock, in each case on a “cashless” or “net exercise” basis or to cover tax withholding obligations in connection with such vesting or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in connection with a bona fide third party tender offer, merger, consolidation or other similar transaction that is approved by our board of directors, made to all holders of our common stock involving a change of control occurring after the closing of this offering, provided that in the event that the tender offer, merger, consolidation or other such transaction is not completed, the common stock shall remain subject to the restrictions in the immediately preceding paragraph;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up to 2,143,552 shares in the aggregate of common stock pursuant to any contract, instruction or plan that satisfies the requirements of Rule 10b5-1 under the Exchange Act that has been entered into prior to the date of this offering, provided that to the extent a public announcement or filing under the Exchange Act is required of such plan, such announcement or filing shall include a statement to the effect that the transfer was pursuant to an existing 10b5-1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further that (i) in the case of any transfer or distribution as described in the first, second, third, fourth or eighth bullet point above, the recipient shall agree to be subject to the restrictions described in the immediately preceding paragraph and (ii) in the case of any transfer or distribution described in the second, fourth, fifth, seventh or eighth bullet point above, no filing under Section 16(a) of the Exchange Act, reporting a reduction in beneficial ownership of shares of common stock, will be required or will be voluntarily made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restrictions described in the paragraph above relating to us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to be sold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issuance of shares of common stock or securities convertible into or exercisable for shares of common stock upon the exercise of an option or warrant or the conversion or vesting of a security outstanding on the date of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issuance of shares of common stock or other securities convertible into or exercisable for shares of common stock pursuant to our equity incentive plans described in this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an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provided that the aggregate number of shares of common stock that we may sell or issue or agree to sell or issue, or that may be issuable upon conversion or exercise of all other securities that we may sell or issue or agree to sell or issue, pursuant to this exception shall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exceed 5% of the total number of shares of common stock issued and outstanding immediately following the completion of this offering, and provided further, that each recipient of shares or other securities issued pursuant to this exception shall be subject to the restrictions described in the paragraph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J.P. Morgan and Leerink Partners, in their sole discretion, may release the common stock and other securities subject to the lock-up agreements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we are party to a sales agreement with Leerink Partners LLC pursuant to which we may offer and sell shares of our common stock having an aggregate offering price of up to $150.0 million from time to time in “at-the-market” offerings.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EU Prospectus Regulation, except that shares may be offered to the public in that Relevant State at any time under the following exemptions under the EU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EU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EU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EU Prospectus Regulation,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no such offer of shares shall require us or any underwriter to publish a prospectus pursuant to Article 3 of the EU Prospectus Regulation or supplement a prospectus pursuant to Article 23 of the EU Prospectus Regulation and each person who initially acquires any shares or to whom any offer is made will be deemed to have represented, acknowledged and agreed to and with us and each of the underwriters that it is a “qualified investor” within the meaning of Article 2(e) of the EU Prospectus Regulation. In the case of any shares being offered to a financial intermediary as that term is used in the EU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“EU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may be offered or sold in the United Kingdom by means of this prospectus supplement or any other document, except in circumstances which do not require the publication of a prospectus pursuant to Part 1 of Schedule 1 to the United Kingdom’s Public Offers and Admissions to Trading Regulations 2024 (“POATR”).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only being distributed to, and is only directed at, persons in the United Kingdom that are qualified investors (as defined in paragraph 15 of Schedule 1 of the POATR) that are also (i) investment professionals falling within Article 19(5) of the Financial Services and Markets Act 2000 (Financial Promotion) Order 2005 (as amended, the “Order”) being persons who have professional experience in matters relating to investments, and/or (ii) high net worth entities falling within Article 49(2)(a) to (d) of the Order and other persons to whom it may lawfully be communicated or caused to be communicated. Each such person is referred to herein as a “Relevant Person.”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invitation or inducement to engage in investment activity (within the meaning of Section 21 of the Financial Services and Markets Act 2000 (the “FSMA”)) may only be communicated or caused to be communicated in connection with the issue or sale of the shares in circumstances in which Section 21(1) of the FSMA does not apply. All applicable provisions of the FSMA must be complied with in respect of anything done by any person in relation to the shares in, from or otherwise involving the United Kingdom.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or the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referred to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Law, DIFC Law No. 1 of 2012, as amended. This document is intended for distribution only to persons of a type specified in the Markets Law, DIFC Law No. 1 of 2012, as amended. This prospectus supplement is intended for distribution only to persons of a type specified in the Markets Law, DIFC Law No. 1 of 2012 of the Dubai Financial Services Authority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under Section 274 of the SFA or to a relevant person defined in Section 275(2) of the SFA,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the shares, the Issuer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our shares. No shares have been offered or will be offered to the public in Switzerland, except that offers of shares may be made to the public in Switzerland at any time under the following exemptions under the Swiss Financial Services Act (“FinSA”): </w:t>
      </w:r>
    </w:p>
    <w:p>
      <w:pPr>
        <w:pStyle w:val="TextBody"/>
        <w:bidi w:val="0"/>
        <w:spacing w:before="240" w:after="0"/>
        <w:jc w:val="left"/>
        <w:rPr>
          <w:rFonts w:ascii="Times New Roman" w:hAnsi="Times New Roman"/>
          <w:sz w:val="20"/>
        </w:rPr>
      </w:pPr>
      <w:r>
        <w:rPr>
          <w:rFonts w:ascii="Times New Roman" w:hAnsi="Times New Roman"/>
          <w:sz w:val="20"/>
        </w:rPr>
        <w:t xml:space="preserve">(a) to any person which is a professional client as defined under the FinSA;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500 persons (other than professional clients as defined under the FinSA), subject to obtaining the prior consent of the underwriters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36 FinSA in connection with Article 44 of the Swiss Financial Services Ordinance,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us or any of the underwriters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shares constitutes a prospectus pursuant to the FinSA, and neither this prospectus supplement nor any other offering or marketing material relating to the shares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133519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offered hereby and certain legal matters in connection with this offering will be passed upon by Covington &amp; Burling LLP, Washington, D.C. Certain legal matters related to this offering will be passed upon for the underwriters by Davis Polk &amp; Wardwell LLP, New York, New York. </w:t>
      </w:r>
    </w:p>
    <w:p>
      <w:pPr>
        <w:pStyle w:val="TextBody"/>
        <w:bidi w:val="0"/>
        <w:spacing w:before="480" w:after="0"/>
        <w:jc w:val="center"/>
        <w:rPr>
          <w:rFonts w:ascii="Times New Roman" w:hAnsi="Times New Roman"/>
          <w:b/>
          <w:sz w:val="20"/>
        </w:rPr>
      </w:pPr>
      <w:bookmarkStart w:id="13" w:name="s133519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133519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and information statements and other information with the SEC. Our SEC filings are available without charge on our website, www.regenxbio.com, and the SEC’s website, www.sec.gov as soon as reasonably practicable after we file them with, or furnish them to, the SEC. You also may obtain, free of charge, a copy of any of these documents (other than exhibits to these documents unless the exhibits are specifically incorporated by reference into these documents or referred to in this prospectus supplement) by writing or calling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REGENXBIO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9804 Medical Center Drive Rockville, MD 20850 </w:t>
      </w:r>
    </w:p>
    <w:p>
      <w:pPr>
        <w:pStyle w:val="TextBody"/>
        <w:bidi w:val="0"/>
        <w:spacing w:before="0" w:after="0"/>
        <w:jc w:val="center"/>
        <w:rPr>
          <w:rFonts w:ascii="Times New Roman" w:hAnsi="Times New Roman"/>
          <w:sz w:val="20"/>
        </w:rPr>
      </w:pPr>
      <w:r>
        <w:rPr>
          <w:rFonts w:ascii="Times New Roman" w:hAnsi="Times New Roman"/>
          <w:sz w:val="20"/>
        </w:rPr>
        <w:t xml:space="preserve">(240) 552-8181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133519_13"/>
      <w:bookmarkEnd w:id="15"/>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the information contained in documents that we file with it, which means that we can disclose important information to you by referring you to those documents. The information incorporated by reference is an important part of this prospectus supplement, and information that we subsequently file with the SEC will automatically update and supersede this information. The following documents that we previously filed with the SEC (File No. 001-37553) are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with the SEC on March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4">
              <w:r>
                <w:rPr>
                  <w:rStyle w:val="InternetLink"/>
                  <w:rFonts w:ascii="Times New Roman" w:hAnsi="Times New Roman"/>
                  <w:sz w:val="20"/>
                </w:rPr>
                <w:t>Quarterly Report on Form 10-Q</w:t>
              </w:r>
            </w:hyperlink>
            <w:r>
              <w:rPr>
                <w:rFonts w:ascii="Times New Roman" w:hAnsi="Times New Roman"/>
                <w:sz w:val="20"/>
              </w:rPr>
              <w:t xml:space="preserve"> for the quarter ended March 31, 2026, filed with the SEC on May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28, 2026</w:t>
              </w:r>
            </w:hyperlink>
            <w:r>
              <w:rPr>
                <w:rFonts w:ascii="Times New Roman" w:hAnsi="Times New Roman"/>
                <w:sz w:val="20"/>
              </w:rPr>
              <w:t xml:space="preserve">, </w:t>
            </w:r>
            <w:hyperlink r:id="rId6">
              <w:r>
                <w:rPr>
                  <w:rStyle w:val="InternetLink"/>
                  <w:rFonts w:ascii="Times New Roman" w:hAnsi="Times New Roman"/>
                  <w:sz w:val="20"/>
                </w:rPr>
                <w:t>February 10, 2026</w:t>
              </w:r>
            </w:hyperlink>
            <w:r>
              <w:rPr>
                <w:rFonts w:ascii="Times New Roman" w:hAnsi="Times New Roman"/>
                <w:sz w:val="20"/>
              </w:rPr>
              <w:t xml:space="preserve"> (Item  8.01 only), </w:t>
            </w:r>
            <w:hyperlink r:id="rId7">
              <w:r>
                <w:rPr>
                  <w:rStyle w:val="InternetLink"/>
                  <w:rFonts w:ascii="Times New Roman" w:hAnsi="Times New Roman"/>
                  <w:sz w:val="20"/>
                </w:rPr>
                <w:t>March  20, 2026</w:t>
              </w:r>
            </w:hyperlink>
            <w:r>
              <w:rPr>
                <w:rFonts w:ascii="Times New Roman" w:hAnsi="Times New Roman"/>
                <w:sz w:val="20"/>
              </w:rPr>
              <w:t xml:space="preserve">, </w:t>
            </w:r>
            <w:hyperlink r:id="rId8">
              <w:r>
                <w:rPr>
                  <w:rStyle w:val="InternetLink"/>
                  <w:rFonts w:ascii="Times New Roman" w:hAnsi="Times New Roman"/>
                  <w:sz w:val="20"/>
                </w:rPr>
                <w:t>May 14, 2026</w:t>
              </w:r>
            </w:hyperlink>
            <w:r>
              <w:rPr>
                <w:rFonts w:ascii="Times New Roman" w:hAnsi="Times New Roman"/>
                <w:sz w:val="20"/>
              </w:rPr>
              <w:t xml:space="preserve"> (Item  8.01 only), </w:t>
            </w:r>
            <w:hyperlink r:id="rId9">
              <w:r>
                <w:rPr>
                  <w:rStyle w:val="InternetLink"/>
                  <w:rFonts w:ascii="Times New Roman" w:hAnsi="Times New Roman"/>
                  <w:sz w:val="20"/>
                </w:rPr>
                <w:t>June  3, 2026</w:t>
              </w:r>
            </w:hyperlink>
            <w:r>
              <w:rPr>
                <w:rFonts w:ascii="Times New Roman" w:hAnsi="Times New Roman"/>
                <w:sz w:val="20"/>
              </w:rPr>
              <w:t xml:space="preserve"> and </w:t>
            </w:r>
            <w:hyperlink r:id="rId10">
              <w:r>
                <w:rPr>
                  <w:rStyle w:val="InternetLink"/>
                  <w:rFonts w:ascii="Times New Roman" w:hAnsi="Times New Roman"/>
                  <w:sz w:val="20"/>
                </w:rPr>
                <w:t>June 29,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the description of our common stock set forth in</w:t>
            </w:r>
            <w:hyperlink r:id="rId11">
              <w:r>
                <w:rPr>
                  <w:rStyle w:val="InternetLink"/>
                  <w:rFonts w:ascii="Times New Roman" w:hAnsi="Times New Roman"/>
                  <w:sz w:val="20"/>
                </w:rPr>
                <w:t> Exhibit 4.2</w:t>
              </w:r>
            </w:hyperlink>
            <w:r>
              <w:rPr>
                <w:rFonts w:ascii="Times New Roman" w:hAnsi="Times New Roman"/>
                <w:sz w:val="20"/>
              </w:rPr>
              <w:t xml:space="preserve"> to 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13, 2025, and all amendments and reports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that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time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as further supplemented may contain information that updates, modifies or is contrary to information herein or in one or more of the documents incorporated by reference in this prospectus supplement or the accompanying prospectus. You should rely only on the information incorporated by reference or provided in this prospectus supplement and accompanying prospectus. We have not authorized anyone else to provide you with different information. You should not assume that the information in this prospectus supplement and the accompanying prospectus is accurate as of any date other than the date of this prospectus supplement, the date of the accompanying prospectus or the date of the documents incorporated by reference in this prospectus supplement and the accompanying prospectus,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28"/>
        </w:rPr>
      </w:pPr>
      <w:r>
        <w:rPr>
          <w:rFonts w:ascii="Times New Roman" w:hAnsi="Times New Roman"/>
          <w:b/>
          <w:sz w:val="28"/>
        </w:rPr>
        <w:t xml:space="preserve">$300,000,000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4235450" cy="5607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4235450" cy="5607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Stock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Rights </w:t>
      </w:r>
    </w:p>
    <w:p>
      <w:pPr>
        <w:pStyle w:val="TextBody"/>
        <w:bidi w:val="0"/>
        <w:spacing w:before="0" w:after="0"/>
        <w:jc w:val="center"/>
        <w:rPr>
          <w:rFonts w:ascii="Times New Roman" w:hAnsi="Times New Roman"/>
          <w:b/>
          <w:sz w:val="24"/>
        </w:rPr>
      </w:pPr>
      <w:r>
        <w:rPr>
          <w:rFonts w:ascii="Times New Roman" w:hAnsi="Times New Roman"/>
          <w:b/>
          <w:sz w:val="24"/>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from time to time, in one or more offerings, up to $300,000,000 of our (i) shares of common stock, (ii) shares of preferred stock, (iii) warrants to purchase common stock, preferred stock or debt securities, (iv) debt securities, (v) rights to purchase common stock, preferred stock, debt securities or units and (vi) units that include any of these securities. We may sell any combination of these securities in one or more offerings in amounts,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and sold in the same offering or separate offerings directly or to or through underwriters or dealers, and also to other purchasers or through agents. The names of any underwriters or agents that are included in a sale of securities to you, and any applicable commissions or discounts, will be stated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“RGNX.” On November 25, 2025, the closing price of our common stock was $13.45.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significant risks. Before buying our securities, you should carefully read and consider the risks we describe in this prospectus and in any accompanying prospectus supplement, as well as the risk factors that are incorporated by reference into this prospectus and in any accompanying prospectus supplement from our filings made with the Securities and Exchange Commission. See “</w:t>
      </w:r>
      <w:hyperlink w:anchor="tx133519_5">
        <w:r>
          <w:rPr>
            <w:rStyle w:val="InternetLink"/>
            <w:rFonts w:ascii="Times New Roman" w:hAnsi="Times New Roman"/>
            <w:b/>
            <w:sz w:val="24"/>
          </w:rPr>
          <w:t>Risk Factors</w:t>
        </w:r>
      </w:hyperlink>
      <w:r>
        <w:rPr>
          <w:rFonts w:ascii="Times New Roman" w:hAnsi="Times New Roman"/>
          <w:b/>
          <w:sz w:val="24"/>
        </w:rPr>
        <w:t xml:space="preserve">” beginning on page 3 of this prospectus. </w:t>
      </w:r>
    </w:p>
    <w:p>
      <w:pPr>
        <w:pStyle w:val="TextBody"/>
        <w:bidi w:val="0"/>
        <w:spacing w:before="240" w:after="0"/>
        <w:jc w:val="left"/>
        <w:rPr>
          <w:rFonts w:ascii="Times New Roman" w:hAnsi="Times New Roman"/>
          <w:sz w:val="20"/>
        </w:rPr>
      </w:pPr>
      <w:r>
        <w:rPr>
          <w:rFonts w:ascii="Times New Roman" w:hAnsi="Times New Roman"/>
          <w:b/>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December 12,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133519_1">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2">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8">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0">
              <w:r>
                <w:rPr>
                  <w:rStyle w:val="InternetLink"/>
                  <w:rFonts w:ascii="Times New Roman" w:hAnsi="Times New Roman"/>
                  <w:sz w:val="20"/>
                </w:rPr>
                <w:t>DESCRIPTION OF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33519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33519_1"/>
      <w:bookmarkEnd w:id="1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 “forward-looking statements” within the meaning of Section 27A of the Securities Act of 1933, as amended (the “Securities Act”), and Section 21E of the Securities Exchange Act of 1934, as amended (the “Exchange Act”), which are subject to the safe harbor created by those sections for such statements.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We have based these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development partnerships, including our collaboration with AbbVie Inc. to develop and commercialize ABBV-RGX-314 and our collaboration with Nippon Shinyaku Co., Ltd. to develop and commercialize RGX-121 and RGX-111;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including under accelerated approval, and maintain regulatory approval of our product candidates, and the labeling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enrollment, commencement, completion and the success of our AAVIATE®, AFFINITY BEYOND®, AFFINITY DUCHENNE®, ALTITUDE®, ASCENT, ATMOSPHERE®, CAMPSIITE® and other clinical trials, including for diabetic retinopathy;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commencement and completion and the success of preclinical studies conducted by us and our development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timely development and launch of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expansion and costs of developing and commercializing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product candidates and technology, and defend against third-party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development and commercialization of product candidates currently being developed by third parties that utilize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growth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trends and challenges in our business and the market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or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of the potential markets for our product candidates and the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any of our products that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expenses and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need for additional financing and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outcome of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regulatory developments in the United States and foreign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government-imposed tariffs or other trade barriers on cost of goods and services, particularly related to partnered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markets and banking system that may affect the availability and terms on which we may obtain financing and our ability to accurately predict how long our existing cash resources will be sufficient to fund our anticipated operating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the section of this prospectus and the applicable prospectus supplement entitled “Risk Factors” as well as the “Risk Factors” and “Management’s Discussion and Analysis of Financial Condition and Results of Operations” sections included in our filings with the SEC that are incorporated herein by reference for a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Any forward-looking statement made by us in this prospectus and the information incorporated by reference herein speaks only as of the date of the respective document. Except as required by law, we disclaim any duty to update or revise any of these forward-looking statements after the date such statements are made, or to update the reasons actual results could differ materially from those anticipated in these forward-looking statements, even if new information becomes available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33519_2"/>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using a shelf registration process. Under this shelf registration process, we may, from time to time, offer or sell any combination of the securities described in this prospectus in one or more offerings, up to a total amount of $300,000,000.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under this registration statement, we will describe in a prospectus supplement, which will be delivered with this prospectus, specific information about the offering and the terms of the particular securities offered. The specific terms of the offered securities may vary from the general terms of the securities described in this prospectus, and accordingly the description of the securities contained in this prospectus is subject to, and qualified by reference to, the specific terms of the offered securities contained in the applicable prospectus supplement.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 For more detailed information about the securities, you can also read the exhibits to the registration statement. Those exhibits have been either filed with the registration statement or incorporated by reference to earlier SEC filings listed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you with information in addition to or different from that contained in this prospectus or any applicable prospectus supplement. We take no responsibility for, and can provide no assurance as to the reliability of, any information that others may provide. We will be offering to sell, and seeking offers to buy, our securities only in jurisdictions where offers and sales are permitted. You should not assume that the information in this prospectus, any applicable prospectus supplement or any free writing prospectus that we have prepared or authorized is accurate as of any date other than the date of those documents, and that any information in documents that we have incorporated by reference is accurate only as of the date of such document, regardless of the time of delivery of this prospectus or any prospectus supplement or the sale of any security hereunder.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throughout this prospectus and any applicable prospectus supplement, the words “REGENXBIO,” “we,” or “us” refer to REGENXBIO Inc. and the term “securities” refers collectively to the securities registered hereunder or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AAVIATE, AFFINITY BEYOND, AFFINITY DUCHENNE, ALTITUDE, ATMOSPHERE, CAMPSIITE, NAV, NAVXpress, NAVXcell, REGENXBIO and the REGENXBIO logos are our registered trademarks. Any other trademarks appearing in this prospectus are the property of their respective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33519_3"/>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and information statements and other information with the SEC. Our SEC filings are available to the public on the SEC’s website,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contained in documents that we file with it, which means that we can disclose important information to you by referring you to those documents. The information incorporated by reference is an important part of this prospectus, and information that we subsequently file with the SEC will automatically update and supersede this information. The following documents that we previously filed with the SEC (File No. 001-37553) are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4">
              <w:r>
                <w:rPr>
                  <w:rStyle w:val="InternetLink"/>
                  <w:rFonts w:ascii="Times New Roman" w:hAnsi="Times New Roman"/>
                  <w:sz w:val="20"/>
                </w:rPr>
                <w:t>Annual Report on Form 10-K</w:t>
              </w:r>
            </w:hyperlink>
            <w:r>
              <w:rPr>
                <w:rFonts w:ascii="Times New Roman" w:hAnsi="Times New Roman"/>
                <w:sz w:val="20"/>
              </w:rPr>
              <w:t xml:space="preserve"> for the year ended December 31, 2024, filed with the SEC on March 13,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15">
              <w:r>
                <w:rPr>
                  <w:rStyle w:val="InternetLink"/>
                  <w:rFonts w:ascii="Times New Roman" w:hAnsi="Times New Roman"/>
                  <w:sz w:val="20"/>
                </w:rPr>
                <w:t>March 31, 2025</w:t>
              </w:r>
            </w:hyperlink>
            <w:r>
              <w:rPr>
                <w:rFonts w:ascii="Times New Roman" w:hAnsi="Times New Roman"/>
                <w:sz w:val="20"/>
              </w:rPr>
              <w:t xml:space="preserve">, </w:t>
            </w:r>
            <w:hyperlink r:id="rId16">
              <w:r>
                <w:rPr>
                  <w:rStyle w:val="InternetLink"/>
                  <w:rFonts w:ascii="Times New Roman" w:hAnsi="Times New Roman"/>
                  <w:sz w:val="20"/>
                </w:rPr>
                <w:t>June  30, 2025</w:t>
              </w:r>
            </w:hyperlink>
            <w:r>
              <w:rPr>
                <w:rFonts w:ascii="Times New Roman" w:hAnsi="Times New Roman"/>
                <w:sz w:val="20"/>
              </w:rPr>
              <w:t xml:space="preserve">, and </w:t>
            </w:r>
            <w:hyperlink r:id="rId17">
              <w:r>
                <w:rPr>
                  <w:rStyle w:val="InternetLink"/>
                  <w:rFonts w:ascii="Times New Roman" w:hAnsi="Times New Roman"/>
                  <w:sz w:val="20"/>
                </w:rPr>
                <w:t>September 30, 2025</w:t>
              </w:r>
            </w:hyperlink>
            <w:r>
              <w:rPr>
                <w:rFonts w:ascii="Times New Roman" w:hAnsi="Times New Roman"/>
                <w:sz w:val="20"/>
              </w:rPr>
              <w:t xml:space="preserve">, filed with the SEC on May 12, 2025, August 7, 2025, and November 6, 2025,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8">
              <w:r>
                <w:rPr>
                  <w:rStyle w:val="InternetLink"/>
                  <w:rFonts w:ascii="Times New Roman" w:hAnsi="Times New Roman"/>
                  <w:sz w:val="20"/>
                </w:rPr>
                <w:t>January 14, 2025</w:t>
              </w:r>
            </w:hyperlink>
            <w:r>
              <w:rPr>
                <w:rFonts w:ascii="Times New Roman" w:hAnsi="Times New Roman"/>
                <w:sz w:val="20"/>
              </w:rPr>
              <w:t xml:space="preserve"> (Item 1.01 only), </w:t>
            </w:r>
            <w:hyperlink r:id="rId19">
              <w:r>
                <w:rPr>
                  <w:rStyle w:val="InternetLink"/>
                  <w:rFonts w:ascii="Times New Roman" w:hAnsi="Times New Roman"/>
                  <w:sz w:val="20"/>
                </w:rPr>
                <w:t>March  4, 2025</w:t>
              </w:r>
            </w:hyperlink>
            <w:r>
              <w:rPr>
                <w:rFonts w:ascii="Times New Roman" w:hAnsi="Times New Roman"/>
                <w:sz w:val="20"/>
              </w:rPr>
              <w:t xml:space="preserve"> (Item 8.01 only), </w:t>
            </w:r>
            <w:hyperlink r:id="rId20">
              <w:r>
                <w:rPr>
                  <w:rStyle w:val="InternetLink"/>
                  <w:rFonts w:ascii="Times New Roman" w:hAnsi="Times New Roman"/>
                  <w:sz w:val="20"/>
                </w:rPr>
                <w:t>May  19, 2025</w:t>
              </w:r>
            </w:hyperlink>
            <w:r>
              <w:rPr>
                <w:rFonts w:ascii="Times New Roman" w:hAnsi="Times New Roman"/>
                <w:sz w:val="20"/>
              </w:rPr>
              <w:t xml:space="preserve"> (Items 1.01 and 2.03 only), </w:t>
            </w:r>
            <w:hyperlink r:id="rId21">
              <w:r>
                <w:rPr>
                  <w:rStyle w:val="InternetLink"/>
                  <w:rFonts w:ascii="Times New Roman" w:hAnsi="Times New Roman"/>
                  <w:sz w:val="20"/>
                </w:rPr>
                <w:t>June  3, 2025</w:t>
              </w:r>
            </w:hyperlink>
            <w:r>
              <w:rPr>
                <w:rFonts w:ascii="Times New Roman" w:hAnsi="Times New Roman"/>
                <w:sz w:val="20"/>
              </w:rPr>
              <w:t xml:space="preserve">, </w:t>
            </w:r>
            <w:hyperlink r:id="rId22">
              <w:r>
                <w:rPr>
                  <w:rStyle w:val="InternetLink"/>
                  <w:rFonts w:ascii="Times New Roman" w:hAnsi="Times New Roman"/>
                  <w:sz w:val="20"/>
                </w:rPr>
                <w:t>August 7, 2025</w:t>
              </w:r>
            </w:hyperlink>
            <w:r>
              <w:rPr>
                <w:rFonts w:ascii="Times New Roman" w:hAnsi="Times New Roman"/>
                <w:sz w:val="20"/>
              </w:rPr>
              <w:t xml:space="preserve"> (Item  1.01 only) and </w:t>
            </w:r>
            <w:hyperlink r:id="rId23">
              <w:r>
                <w:rPr>
                  <w:rStyle w:val="InternetLink"/>
                  <w:rFonts w:ascii="Times New Roman" w:hAnsi="Times New Roman"/>
                  <w:sz w:val="20"/>
                </w:rPr>
                <w:t>August 18,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w:t>
            </w:r>
            <w:hyperlink r:id="rId24">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2024, filed with the SEC on March 13, 2025, and all amendments and reports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that we subsequently file pursuant to Section 13(a), 13(c), 14 or 15(d) of the Exchange Act prior to the completion of the sales of the securities offered hereby, but excluding any information furnished to, rather than filed with, the SEC (unless expressly incorporated by reference herein), will also be incorporated by reference into this prospectus and deemed to be part of this prospectus from the time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applicable prospectus supplement may contain information that updates, modifies or is contrary to information herein or in one or more of the documents incorporated by reference in this prospectus. You should rely only on the information incorporated by reference or provided in this prospectus, the applicable prospectus supplement or any free writing prospectus that we have prepared that relates to a particular offering. We have not authorized anyone else to provide you with different or additional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We make available, free of charge, through our website at </w:t>
      </w:r>
      <w:r>
        <w:rPr>
          <w:rFonts w:ascii="Times New Roman" w:hAnsi="Times New Roman"/>
          <w:i/>
          <w:sz w:val="20"/>
        </w:rPr>
        <w:t>www.regenxbio.com</w:t>
      </w:r>
      <w:r>
        <w:rPr>
          <w:rFonts w:ascii="Times New Roman" w:hAnsi="Times New Roman"/>
          <w:sz w:val="20"/>
        </w:rPr>
        <w:t xml:space="preserve"> our Annual Reports on Form 10-K, Quarterly Reports on Form 10-Q, Current Reports on Form 8-K and proxy and information statements, including any applicable amendments, filed or furnished pursuant to Section 13(a), 13(c), 14 or 15(d) of the Exchange Act as soon as reasonably practicable after we electronically file such material with, or furnish it to, the SEC. Information on, or that can be accessed through, our website is not incorporated into this prospectus or other securities filings and is not a part of these filings. You may also obtain, free of charge, a copy of any of these documents (other than exhibits to these documents unless the exhibits are specifically incorporated by reference into these documents or referred to in this prospectus) by writing or calling us at: </w:t>
      </w:r>
    </w:p>
    <w:p>
      <w:pPr>
        <w:pStyle w:val="TextBody"/>
        <w:bidi w:val="0"/>
        <w:spacing w:before="120" w:after="0"/>
        <w:jc w:val="center"/>
        <w:rPr>
          <w:rFonts w:ascii="Times New Roman" w:hAnsi="Times New Roman"/>
          <w:sz w:val="20"/>
        </w:rPr>
      </w:pPr>
      <w:r>
        <w:rPr>
          <w:rFonts w:ascii="Times New Roman" w:hAnsi="Times New Roman"/>
          <w:sz w:val="20"/>
        </w:rPr>
        <w:t xml:space="preserve">REGENXBIO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9804 Medical Center Drive </w:t>
      </w:r>
    </w:p>
    <w:p>
      <w:pPr>
        <w:pStyle w:val="TextBody"/>
        <w:bidi w:val="0"/>
        <w:spacing w:before="0" w:after="0"/>
        <w:jc w:val="center"/>
        <w:rPr>
          <w:rFonts w:ascii="Times New Roman" w:hAnsi="Times New Roman"/>
          <w:sz w:val="20"/>
        </w:rPr>
      </w:pPr>
      <w:r>
        <w:rPr>
          <w:rFonts w:ascii="Times New Roman" w:hAnsi="Times New Roman"/>
          <w:sz w:val="20"/>
        </w:rPr>
        <w:t xml:space="preserve">Rockville, MD 20850 </w:t>
      </w:r>
    </w:p>
    <w:p>
      <w:pPr>
        <w:pStyle w:val="TextBody"/>
        <w:bidi w:val="0"/>
        <w:spacing w:before="0" w:after="0"/>
        <w:jc w:val="center"/>
        <w:rPr>
          <w:rFonts w:ascii="Times New Roman" w:hAnsi="Times New Roman"/>
          <w:sz w:val="20"/>
        </w:rPr>
      </w:pPr>
      <w:r>
        <w:rPr>
          <w:rFonts w:ascii="Times New Roman" w:hAnsi="Times New Roman"/>
          <w:sz w:val="20"/>
        </w:rPr>
        <w:t xml:space="preserve">(240) 552-8181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33519_4"/>
      <w:bookmarkEnd w:id="20"/>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 </w:t>
      </w:r>
    </w:p>
    <w:p>
      <w:pPr>
        <w:pStyle w:val="TextBody"/>
        <w:bidi w:val="0"/>
        <w:spacing w:before="240" w:after="0"/>
        <w:jc w:val="left"/>
        <w:rPr>
          <w:rFonts w:ascii="Times New Roman" w:hAnsi="Times New Roman"/>
          <w:sz w:val="20"/>
        </w:rPr>
      </w:pPr>
      <w:r>
        <w:rPr>
          <w:rFonts w:ascii="Times New Roman" w:hAnsi="Times New Roman"/>
          <w:sz w:val="20"/>
        </w:rPr>
        <w:t xml:space="preserve">Our investigational gene therapies use adeno-associated virus (AAV) vectors from our proprietary gene delivery platform, which we call our NAV® Technology Platform. AAV vectors are non-replicating viral delivery vehicles that are not known to cause disease. Our NAV Technology Platform consists of a large portfolio of AAV vectors (NAV Vectors), including commonly used AAV8 and AAV9. We believe this platform forms a strong foundation for our current clinical-stage programs and, with our ongoing research and development, we expect to continue to expand our platform and pipeline of potential AAV vector-based gene therapies. We refer to commercial and investigational AAV vector-based gene therapies as AAV Therapeutics. Our NAV Technology Platform is the foundation for commercial and investigational AAV Therapeutics that have treated thousands of patients through our clinical pipeline and NAV licensees.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9804 Medical Center Drive, Rockville, Maryland 20850, and our telephone number is (240) 552-8181. Our website address is www.regenxbio.com. The information on our website is not incorporated by reference into this prospectus and should not be considered to be part of this document. </w:t>
      </w:r>
    </w:p>
    <w:p>
      <w:pPr>
        <w:pStyle w:val="TextBody"/>
        <w:bidi w:val="0"/>
        <w:spacing w:before="480" w:after="0"/>
        <w:jc w:val="center"/>
        <w:rPr>
          <w:rFonts w:ascii="Times New Roman" w:hAnsi="Times New Roman"/>
          <w:b/>
          <w:sz w:val="20"/>
        </w:rPr>
      </w:pPr>
      <w:bookmarkStart w:id="21" w:name="tx133519_5"/>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You should carefully consider the specific risks discussed or incorporated by reference into this prospectus and the applicable prospectus supplement, together with all the other information contained in this prospectus and the applicable prospectus supplement or incorporated by reference into this prospectus and the applicable prospectus supplement, including the risks, uncertainties and assumptions discussed under the caption “Risk Factors” in documents we file from with the SEC, specifically our most recent Annual Report on Form 10-K, our Quarterly Reports on Form 10-Q and our Current Reports on Form 8-K.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 </w:t>
      </w:r>
    </w:p>
    <w:p>
      <w:pPr>
        <w:pStyle w:val="TextBody"/>
        <w:bidi w:val="0"/>
        <w:spacing w:before="480" w:after="0"/>
        <w:jc w:val="center"/>
        <w:rPr>
          <w:rFonts w:ascii="Times New Roman" w:hAnsi="Times New Roman"/>
          <w:b/>
          <w:sz w:val="20"/>
        </w:rPr>
      </w:pPr>
      <w:bookmarkStart w:id="22" w:name="tx133519_6"/>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we intend to use the net proceeds from the sale of the securities offered under this prospectus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We may use a portion of the net proceeds to pay off outstanding indebtedness, if any, or acquire or invest in businesses, products or technologies. We will set forth in the applicable prospectus supplement our intended use for the net proceeds received from the sale of any securities. Pending the use of such proceeds, we intend to invest the net proceeds in short-term, investment 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33519_7"/>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general summary of the terms of the shares of common stock and shares of preferred stock that we may issue. The description below and in any prospectus supplement does not include all of the terms of the shares of common stock or shares of preferred stock and should be read together with our restated certificate of incorporation and amended and restated bylaws, copies of which have been filed previously with the SEC. For more information on how you can obtain copies of our restated certificate of incorporation and amended and restated bylaws,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110,000,000 shares, with a par value of $0.0001 per share, of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are designated as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are designated as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there were 50,618,692 shares of the registrant’s common stock, par value $0.0001 per share, issued and outstanding. No shares of preferred stock were outstanding as of such date.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per share on all matters submitted to a vote of stockholders. Notwithstanding the previous sentence, unless otherwise provided by law, holders of common stock are not entitled to vote on any amendment to our restated certificate of incorporation that relates solely to the terms of any preferred stock if the holders of such preferred stock are entitled to vote on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provided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General Corporation Law of the State of Delaware (the “Delaware General Corporation Law”), provides that holders of a class of stock will have the right to vote separately as a class on any proposal involving fundamental changes in the rights of the holders of that class of stock for proposals that adversely affect such holders. </w:t>
      </w:r>
    </w:p>
    <w:p>
      <w:pPr>
        <w:pStyle w:val="TextBody"/>
        <w:bidi w:val="0"/>
        <w:spacing w:before="360" w:after="0"/>
        <w:jc w:val="left"/>
        <w:rPr>
          <w:rFonts w:ascii="Times New Roman" w:hAnsi="Times New Roman"/>
          <w:i/>
          <w:sz w:val="20"/>
        </w:rPr>
      </w:pPr>
      <w:r>
        <w:rPr>
          <w:rFonts w:ascii="Times New Roman" w:hAnsi="Times New Roman"/>
          <w:i/>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“RGNX.” </w:t>
      </w:r>
    </w:p>
    <w:p>
      <w:pPr>
        <w:pStyle w:val="TextBody"/>
        <w:bidi w:val="0"/>
        <w:spacing w:before="360" w:after="0"/>
        <w:jc w:val="left"/>
        <w:rPr>
          <w:rFonts w:ascii="Times New Roman" w:hAnsi="Times New Roman"/>
          <w:i/>
          <w:sz w:val="20"/>
        </w:rPr>
      </w:pPr>
      <w:r>
        <w:rPr>
          <w:rFonts w:ascii="Times New Roman" w:hAnsi="Times New Roman"/>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outstanding 1,125,440 pre-funded warrants to purchase shares of our common stock at an exercise price of $22.9999 per pre-funded warrant, which equaled the public offering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 share of our common stock in the registered public offering in which the warrants were issued, less the $0.0001 exercise price of each pre-funded warrant. The rights and privileges of the pre-funded warrants are set forth in the Warrant Agency Agreement, dated March 11, 2024, between the Company, Computershare Inc. and Computershare Trust Company, N.A., as warrant agent. The pre-funded warrants are exercisable at the option of the warrant holder at any time and do not expire. However, as set forth in the warrant agreements with each holder, the number of pre-funded warrants that may be exercised at any given time may be limited if, upon exercise, the warrant holder and any of its affiliates would beneficially own more than 9.99% of our common stock, or have voting power of more than 9.99% of our common stock. The limitation may be increased or decreased by the warrant holder, with advance notice to us, to any other percentage not less than 4.99% nor in excess of 19.99%. Pre-funded warrants do not provide any of the rights or privileges provided by our common stock, including any voting rights, until the pre-funded warrants are exercised and settled in underlying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outstanding 268,096 warrants to purchase shares of our common stock at an exercise price of $14.92 per warrant. The warrants were issued on May 16, 2025 and will remain exercisable for 10 years from the date of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shares of preferred stock from time to time in one or more series, the terms of which may be determined at the time of issuance by our board of directors, without further action by our stockholders. Such series of preferred stock may include voting rights, preferences as to dividends and liquidation, conversion rights, redemption rights and sinking fund provisions. The shares of each series of preferred stock will have preferences, limitations and relative rights, including voting rights, identical with those of other shares of the same series and, except to the extent provided in the description of such series, of those of other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any particular series of preferred stock will be described in the prospectus supplement relating to the offering of shares of such series of preferred stock, including,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series designation, stated value and liquidation preference of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rates (or method of calculation), the date or dates from which dividends shall accrue, and whether such dividends shall be cumulative or noncumulative and, if cumulative, the dates from which dividends shall commence to 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that shares of such series shall be entitled to receive in the event of our liquidation, dissolution or winding-up;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on which shares of such series shall be convertible or exchangeable for shares of our stock of any other class or classes, or other series of the same class;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shares of such series in addition to those set forth under the caption entitled, “Voting Rights”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status as to reissuance or sale of shares of such series redeemed, purchased or otherwise reacquired, or surrendered to us on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and restrictions, if any, on the creation of indebtedness, or on the issue of any additional stock ranking on a parity with or prior to the shares of such series as to dividends or upon liquidation;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rights, preferences, privileges, limitations and restrictions of such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issue shares of preferred stock under this prospectus and any related prospectus supplement, the shares will be fully paid and non-assessable and will not have, or be subject to, any preemptive or similar rights.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Delaware General Corporation Law provides that the holders of shares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 </w:t>
      </w:r>
    </w:p>
    <w:p>
      <w:pPr>
        <w:pStyle w:val="TextBody"/>
        <w:bidi w:val="0"/>
        <w:spacing w:before="360" w:after="0"/>
        <w:jc w:val="left"/>
        <w:rPr>
          <w:rFonts w:ascii="Times New Roman" w:hAnsi="Times New Roman"/>
          <w:i/>
          <w:sz w:val="20"/>
        </w:rPr>
      </w:pPr>
      <w:r>
        <w:rPr>
          <w:rFonts w:ascii="Times New Roman" w:hAnsi="Times New Roman"/>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of preferred stock will be set forth in the applicable prospectus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Effects 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Delaware law, our restated certificate of incorporation and our amended and restated bylaws contain provisions that could make it more difficult to effect an acquisition of us by means of a tender offer, proxy contest or otherwise, or to remove our incumbent officers and directors. It is possible that these provisions could make it more difficult to accomplish, or could deter, transactions that stockholders otherwise consider to be in our or their best interest,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unsolicited or unfriendly proposal to acquire or restructure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sz w:val="20"/>
        </w:rPr>
      </w:pPr>
      <w:r>
        <w:rPr>
          <w:rFonts w:ascii="Times New Roman" w:hAnsi="Times New Roman"/>
          <w:i/>
          <w:sz w:val="20"/>
        </w:rPr>
        <w:t>Delaware Business Combination Statute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which prohibits a publicly held Delaware corporation from engaging in a “business combination” with an “interested stockholder” for a period of three years following the time of the transaction in which the person or entity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that time, either the business combination or the transaction that resulted in the stockholder becoming an interested stockholder is approved by the board of directors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the outstanding voting stock of the corporation, excluding for this purpose shares owned by persons who are directors and also officers of the corporation and by specified employee benefit plans;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such time, the business combination is approved by the board of directors of the corporation and by the affirmative vote, and not by written consent,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Section 203, a “business combination” is broadly defined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that results in the issuance or transfer by the corporation of any stock of the corporation to the interested stockholder,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“interested stockholder” is a person who, together with affiliates and associates, owns or within the immediately preceding three years did own 15% or more of the corporation’s voting stock.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 existence of authorized but unissued shares of preferred stock may have the effect of deferring hostile takeovers or delaying changes in control or management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Action by Written Consent;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amended and restated bylaws. Our restated certificate of incorporation and amended and restated bylaws provide that a special meeting of stockholders may be called only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chairman of the board or our chief executive officer (or if there is no chief executive officer, the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Board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two-thirds of the total voting power of all of our outstanding voting stock. In addition, the affirmative vote of the holders of at least two-thirds of the total voting power of all of our outstanding voting stock is required for stockholders to amend our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restated certificate of incorporation and our amended and restated bylaws could have the effect of discouraging others from attempting hostile takeovers and, as a consequence,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provides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or is a “foreign action” (as defined in our restated certificate of incorporation),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w:t>
      </w:r>
    </w:p>
    <w:p>
      <w:pPr>
        <w:pStyle w:val="TextBody"/>
        <w:bidi w:val="0"/>
        <w:spacing w:before="240" w:after="0"/>
        <w:jc w:val="left"/>
        <w:rPr>
          <w:rFonts w:ascii="Times New Roman" w:hAnsi="Times New Roman"/>
          <w:sz w:val="20"/>
        </w:rPr>
      </w:pPr>
      <w:r>
        <w:rPr>
          <w:rFonts w:ascii="Times New Roman" w:hAnsi="Times New Roman"/>
          <w:sz w:val="20"/>
        </w:rPr>
        <w:t xml:space="preserve">The enforceability of similar choice of forum provisions in other companies’ certificates of incorporation has been challenged in legal proceedings, and it is possible that a court could find these types of provisions to be inapplicable or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includes provisions that limit the liability of our directors for monetary damages for breach of their fiduciary duty as directors, except for liability that cannot be eliminated under the Delaware General Corporation Law. Accordingly, our directors will not be personally liable for monetary damages for breach of their fiduciary duty as directors, except for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acts or omissions not in good faith or which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unlawful payments of dividends or unlawful stock repurchases or redemptions, as provided under Section 174 of the Delaware General Corporation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amendment or repeal of these provisions will require the approval of the holders of shares representing at least two-thirds of the shares entitled to vote in the election of directors, voting as one class.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of incorporation and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his or her actions as our officer, director, employee or agent, regardless of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law would permit indemnification. We have entered into separate indemnification agreements with our directors and officers that require us, among other things, to indemnify them against certain liabilities that may arise by reason of their status or service as directors and to advance their expenses incurred as a result of any proceeding against them as to which they could be indemnified. We believe that the limitation of liability provision in our restated certificate of incorporation and the indemnification agreements facilitate our ability to continue to attract and retain qualified individuals to serve as directors and officers. 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33519_8"/>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issued independently or together with other securities and may be attached to or separate from any offered securities. Each series of warrants may be issued under a separate warrant agreement to be entered into between us and a bank or trust company, as warrant agent, if indicated in the applicable prospectus supplement. Any warrant agent appointed in connection with the issuance of a series of warrants will act solely as our agent in connection with such warrants and will not have any obligation or relationship of agency or trust for or with any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forms of the warrant agreement and the warrant certificate, if any,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if any,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issue of warrants to issue shares of our common stock or shares of our preferred stock will describe the terms of the common share warrants and preferred share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shares of common stock or shares of preferred stock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changes or adjustments to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shares of preferred stock that may be purchased upon exercise of a warrant and the price at which the shares may be purchased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identity of the warrant agent,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Debt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issue of warrants to issue debt securities will describe the terms of those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debt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changes or adjustments to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debt securities that the warrants are issued with and the number of warrants issued with each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debt securities issued with them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warrant and the price at which the debt securities may be purchased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represented by the warrant certificates or debt securities that may be issued upon exercise of the warrants will be issued in registered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relating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identity of the warrant agent,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warrant will be entitled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 including, with respect to equity warrants, any right to vote, consent, receive dividends, or receive notice as stockholders with respect to any meeting of the stockholders for the election of directors or any other matter and with respect to debt warrants, any right to receive payment of principal or premium, if any, or interest on the debt securities purchasable upon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33519_9"/>
      <w:bookmarkEnd w:id="25"/>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separately or together with, or upon conversion, exercise or exchange of other securities, debt securities, including debentures, notes or other evidences of indebtedness as set forth in the applicable prospectus supplement. The debt securities will be issued under one or more separate indentures between us and a trustee to be identified in an accompanying prospectus supplement. The following is a general description of the terms of debt securities we may issue from time to time. Particular terms of any debt securities we offer will be described in the prospectus supplement relating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any debt securities we may issue or the indenture governing any such debt securities. Particular terms of any debt securities we offer and the applicable indenture will be described in the prospectus supplement relating to such offering, and we urge you to read such description in its entirety, because it, and not this description, will define the rights of holders of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debt securities we may issue,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series of debt securities, the denominations in which the offered debt securities will be issued and whether the offering may be reopened for additional securities of that series and on what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are to be guaranteed and, if so, the guarantor or guarantors and the terms of the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interest or premium, if any, on a series of debt securities will be determined with reference to an index, formula or other method and how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of payment, transfer, conversion and/or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are issuable in definitive or global form or in definitive form only upon satisfaction of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legal defeasance or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debt securities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paying agents, authenticating agents, security registrars or other agents for debt securities, if other than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including any provisions regarding the circumstances under which collateral may be released or substituted;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including those related to original issue discount, if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the prospectus supplement states otherwise, principal, interest and premium, if any, will be paid by us in immediately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Any debt securities we issue will be governed by a document called an “indenture,” the form of which is filed as an exhibit to the registration statement of which this prospectus forms a part. An indenture is a contract between us and a financial institution acting as trustee on behalf of the holders of the debt securities, and is subject to and governed by the Trust Indenture Act of 1939.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the applicable prospectus supplement, including any debt securities issuable upon conversion or exchange of other offered securities, which we refer to as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interest or premium,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also provides that there may be more than one trustee thereunder, each with respect to one or more different series of securities issued thereunder. In the event that there is more than one trustee under the indenture, the powers and trust obligations of each trustee described in this prospectus will extend only to the one or more series of debt securities for which it is trustee. If two or more trustees are acting under an indenture, then the debt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debt securities with terms different from those of debt securities previously issued and, without the consent of the holders thereof, to reopen a previous issue of a series of debt securities and issue additional debt securities of that series unless the reopening is restricted when that series is created.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Unless otherwise designated in the applicable prospectus supplement, the trustee will be designated as our paying agent. </w:t>
      </w:r>
    </w:p>
    <w:p>
      <w:pPr>
        <w:pStyle w:val="TextBody"/>
        <w:bidi w:val="0"/>
        <w:spacing w:before="240" w:after="0"/>
        <w:jc w:val="left"/>
        <w:rPr>
          <w:rFonts w:ascii="Times New Roman" w:hAnsi="Times New Roman"/>
          <w:sz w:val="20"/>
        </w:rPr>
      </w:pPr>
      <w:r>
        <w:rPr>
          <w:rFonts w:ascii="Times New Roman" w:hAnsi="Times New Roman"/>
          <w:sz w:val="20"/>
        </w:rPr>
        <w:t xml:space="preserve">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moneys paid by us to a paying agent for payment on any debt security that remain unclaimed for a period of two years after the principal, premium or interest has become due and payable and was deposited with the paying agent will be paid to us, subject to any applicable abandoned property law.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any series may be represented, in whole or in part, by one or more global securities. Each global security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registered in the name of a depositary, or its nominee, that we will identify in a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deposited with the trustee as custodian for the depositary;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 any required legends.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global security may be exchanged in whole or in part for debt securities registered in the name of any person other than the depositary or any nominee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notified us that it is unwilling or unable to continue as depositary or has ceased to be qualified to act as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the debt securities of the applicable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circumstance described in a prospectus supplement has occurred permitting or requiring the issuance of any such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long as the depositary, or its nominee, is the registered owner of a global security, the depositary or nominee will be considered the absolute owner of the debt securities represented by the global security for all purposes under the indenture. Participants in the depositary have no rights under the indenture with respect to the global securities held on their behalf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Ownership of beneficial interests in a global security are required to be shown on and effected through the book entry system maintained by the depositary (or its nominee), with respect to participants’ interests, or any participant, with respect to interests of persons held by participants on their behalf. </w:t>
      </w:r>
    </w:p>
    <w:p>
      <w:pPr>
        <w:pStyle w:val="TextBody"/>
        <w:bidi w:val="0"/>
        <w:spacing w:before="240" w:after="0"/>
        <w:jc w:val="left"/>
        <w:rPr>
          <w:rFonts w:ascii="Times New Roman" w:hAnsi="Times New Roman"/>
          <w:sz w:val="20"/>
        </w:rPr>
      </w:pPr>
      <w:r>
        <w:rPr>
          <w:rFonts w:ascii="Times New Roman" w:hAnsi="Times New Roman"/>
          <w:sz w:val="20"/>
        </w:rPr>
        <w:t xml:space="preserve">Payments, transfers and exchanges relating to beneficial interests in a global security will be subject to policies and procedures of the depositary and must be effected through the depositary’s (or its nominee’s) book entry system. The depositary’s policies and procedures may change from time to time. We and the trustee have no responsibility or liability for the depositary’s or any participant’s records with respect to beneficial interests in a global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a prospectus supplement with respect to a particular series of debt securities, the following will be events of default for any series of debt securities under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on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within 30 days of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guarantee with respect to the particular series of debt securities ceases to be of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guarantor) remain in breach of a covenant in respect of debt securities of the series for 60 days after we (or the applicable guarantor) receive a written notice of default from the trustee or holders of at least 25% of the aggregate principal amount of debt securities of the series specifying the default and demanding that it be remedied;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occurs in respect of debt securities of the series described in the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may withhold notice to the holders of debt securities of any default, except in the payment of principal, premium or interest, if it considers the withholding of notice to be in the best interests of the holders. </w:t>
      </w:r>
    </w:p>
    <w:p>
      <w:pPr>
        <w:pStyle w:val="TextBody"/>
        <w:bidi w:val="0"/>
        <w:spacing w:before="360" w:after="0"/>
        <w:jc w:val="left"/>
        <w:rPr>
          <w:rFonts w:ascii="Times New Roman" w:hAnsi="Times New Roman"/>
          <w:i/>
          <w:sz w:val="20"/>
        </w:rPr>
      </w:pPr>
      <w:r>
        <w:rPr>
          <w:rFonts w:ascii="Times New Roman" w:hAnsi="Times New Roman"/>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has not been cured or waived, the trustee or the holders of not less than 25% in aggregate principal amount of the debt securities of the affected series may declare the unpaid principal, premium, if any, and accrued and unpaid interest of all the debt securities of that series to be due and immediately payable. This is called a declaration of acceleration. A declaration of acceleration may be canceled by the holders of a majority in principal amount of the debt securities of the affected series if the default is cured or waived and certain other conditions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Except in cases of default, the trustee typically is not required to take any action under an indenture at the request of any holders unless the holders offer the trustee reasonable protection from expenses and liability, or an indemnity. If reasonable indemnity is provided, the holders of a majority in aggregate principal amount of the outstanding debt securities of the relevant series may direct the time, method and place of conducting any lawsuit or other formal legal action seeking any remedy available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Before a holder is allowed to bring its own lawsuit or other formal legal action or take other steps to enforce its rights or protect its interests relating to any debt securities,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must give the trustee written notice that an event of default has occurred and remains uncured;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all outstanding debt securities of the relevant series must make a written request that the trustee take action because of the default and must offer reasonable indemnity to the trustee against the cost and other liabilities of taking that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the debt securities must not have given the trustee a direction inconsistent with the above notice during that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360" w:after="0"/>
        <w:jc w:val="left"/>
        <w:rPr>
          <w:rFonts w:ascii="Times New Roman" w:hAnsi="Times New Roman"/>
          <w:i/>
          <w:sz w:val="20"/>
        </w:rPr>
      </w:pPr>
      <w:r>
        <w:rPr>
          <w:rFonts w:ascii="Times New Roman" w:hAnsi="Times New Roman"/>
          <w:i/>
          <w:sz w:val="20"/>
        </w:rPr>
        <w:t xml:space="preserve">Waiver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aggregate principal amount of the relevant series of debt securities may waive a default or event of default for such series of debt securities. If this happens, the default will be treated as if it had not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do not survive such transaction or we convey, transfer or lease our properties and assets substantially as an entirety, the acquiring company must be a corporation, limited liability company, partnership or trust, or other corporate form, organized under the laws of the United States, any state of the United States or the District of Columbia, and such company must agree to be legally responsible for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alternatively, we must be the surviving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transaction no event of default, or event that, after notice or lapse of time or both, would constitute an event of default, will have occurred or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a prospectus supplement, there are three types of changes we may make to an indenture and the debt securities issued thereunder, as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Changes Requiring Approval of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list of the types of changes that require specific approval of all of the holders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debt securities of any series whose holders must consent to an amendment, supplement or waiver;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the time for payment of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the rate of interest or any premium payable upon the redemption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payment office where any payment on a debt security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any debt security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bring suit to enforce payment of principal, premium, if any, or interest on or after the maturity of a debt security or, in the case of redemption, on or after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percentage of holders of debt securities whose consent is needed to supplement the indenture or amend a series of debt securities, waive compliance with certain covenants or waive defaults or events of default, other than to increase such percentage or to provide that certain other provisions of the indenture cannot be modified except with the consent of all affected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any manner adverse to the interests of the holders the terms and conditions of the obligations of any guarantors in respect of the due and punctual payment of the principal thereof, premium, if any, and interest thereon, or any additional amounts or any sinking fund or analogous payments;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rights of holders with respect to any series of debt securities that are exchangeable or convertible to receive payment or delivery of any consideration due upon the conversion or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all of the series of debt securities affected by a certain action, voting together as one class for this purpose, may amend or supplement the indenture or waive our compliance obligations with respect to some of our covenants in that indenture. However, we cannot obtain a waiver of a payment default or of any of the matters covered by the bullet points included above. </w:t>
      </w:r>
    </w:p>
    <w:p>
      <w:pPr>
        <w:pStyle w:val="TextBody"/>
        <w:bidi w:val="0"/>
        <w:spacing w:before="360" w:after="0"/>
        <w:jc w:val="left"/>
        <w:rPr>
          <w:rFonts w:ascii="Times New Roman" w:hAnsi="Times New Roman"/>
          <w:i/>
          <w:sz w:val="20"/>
        </w:rPr>
      </w:pPr>
      <w:r>
        <w:rPr>
          <w:rFonts w:ascii="Times New Roman" w:hAnsi="Times New Roman"/>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Clarifications and certain other changes that would not adversely affect holders of the outstanding debt securities in any material respect, including the addition of covenants and guarantees, do not require any vote by the holders of outstanding debt securities. We also do not need to obtain any approval from holders to make any change that affects only debt securities to be issued under the indenture after the change takes effect or any changes that are required to comply with the requirements of the SEC or the Trust Indenture Act of 1939. </w:t>
      </w:r>
    </w:p>
    <w:p>
      <w:pPr>
        <w:pStyle w:val="TextBody"/>
        <w:bidi w:val="0"/>
        <w:spacing w:before="360" w:after="0"/>
        <w:jc w:val="left"/>
        <w:rPr>
          <w:rFonts w:ascii="Times New Roman" w:hAnsi="Times New Roman"/>
          <w:i/>
          <w:sz w:val="20"/>
        </w:rPr>
      </w:pPr>
      <w:r>
        <w:rPr>
          <w:rFonts w:ascii="Times New Roman" w:hAnsi="Times New Roman"/>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on proposed changes to the indenture and the debt securities, each holder will be entitled to one vote for each $1,000 in principal amount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will not be eligible to vote if they have been fully defeased as described under “Description of Debt Securities—Defeasance—Legal Defeasance.” </w:t>
      </w:r>
    </w:p>
    <w:p>
      <w:pPr>
        <w:pStyle w:val="TextBody"/>
        <w:bidi w:val="0"/>
        <w:spacing w:before="240" w:after="0"/>
        <w:jc w:val="left"/>
        <w:rPr>
          <w:rFonts w:ascii="Times New Roman" w:hAnsi="Times New Roman"/>
          <w:sz w:val="20"/>
        </w:rPr>
      </w:pPr>
      <w:r>
        <w:rPr>
          <w:rFonts w:ascii="Times New Roman" w:hAnsi="Times New Roman"/>
          <w:sz w:val="20"/>
        </w:rPr>
        <w:t xml:space="preserve">We generally will be entitled to set any day as a record date for the purpose of determining the holders of outstanding debt securities that are entitled to vote or take other action under the indenture. Any record date must not be more than 90 calendar days nor less than 20 calendar days prior to the proposed date of such vote or action.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will need to consult their banks or brokers for information on how approval may be granted or denied if we seek to change the indenture or the debt securities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legal defeasance will not be applicable to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In order to achieve covenant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such debt securities money, non-callable U.S. government securities, or a combination thereof that will generate enough cash to pay and discharge the principal, premium, if any, and interest on the debt securities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the holders to be taxed on the debt securities any differently than if we did not make the deposit and repaid the debt securities ourselves at maturity;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certain documentation stating that all conditions precedent to covenant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holders can still look to us for repayment of the debt securities if there were a shortfall in the trust deposit or the trustee is prevented from making payment. In fact, if one of the remaining events of default occurs (such as our bankruptcy) and the debt securities become immediately due and payable, there might be a shortfall. Depending on the event causing the default, holders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We can make the deposit described below and be legally released from all payment and other obligations on the debt securities of a particular series, which we refer to as “legal defeasance.” In that event, we and any guarantor shall have been deemed to have been discharged from obligations with respect to such debt securities and related guarantees, respectively. In order to achieve legal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such debt securities money, non-callable U.S. government securities, or a combination thereof that will generate enough cash to pay and discharge the principal, premium, if any, and interest on the debt securities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repaid the debt securities ourselves at maturity;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legal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legal defeasance,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debt securities provided that a successor trustee is appointed to act with respect to such series. In the event that two or more persons are acting as trustee with respect to different series of debt securities, each of the trustees will be a trustee of a trust separate and apart from the trust administered by any other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We intend to name the indenture trustee for each series of debt securities in the related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33519_10"/>
      <w:bookmarkEnd w:id="26"/>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rights we may issue from time to time unless we provide otherwise in the applicable prospectus supplement. Particular terms of any rights we offer will be described in the prospectus supplement relating to such rights.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any rights we may issue,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aggregate number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subscription price or a formula for the determination of the subscription price for the rights and the currency or currencies in which the subscription price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rights are issued and the number of rights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 formula for the determination of the number of the rights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rights to purchase debt securities, the principal amount of debt securities purchasable upon exercise of one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rights to purchase common stock or preferred stock, the type of stock and number of shares of stock purchasable upon exercise of one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will commence, and the date on which the rights will expire (subject to any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rights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rights include an over-subscription privilege with respect to unsubscribed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on the rights of any merger, consolidation, sale or other disposition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backstop or other purchase arrangement that we may enter into in connection with the rights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terms, procedures and limitations relating to the exchange and exercise of the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Rights </w:t>
      </w:r>
    </w:p>
    <w:p>
      <w:pPr>
        <w:pStyle w:val="TextBody"/>
        <w:bidi w:val="0"/>
        <w:spacing w:before="120" w:after="0"/>
        <w:jc w:val="left"/>
        <w:rPr>
          <w:rFonts w:ascii="Times New Roman" w:hAnsi="Times New Roman"/>
          <w:sz w:val="20"/>
        </w:rPr>
      </w:pPr>
      <w:r>
        <w:rPr>
          <w:rFonts w:ascii="Times New Roman" w:hAnsi="Times New Roman"/>
          <w:sz w:val="20"/>
        </w:rPr>
        <w:t xml:space="preserve">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 </w:t>
      </w:r>
    </w:p>
    <w:p>
      <w:pPr>
        <w:pStyle w:val="TextBody"/>
        <w:bidi w:val="0"/>
        <w:spacing w:before="240" w:after="0"/>
        <w:jc w:val="left"/>
        <w:rPr>
          <w:rFonts w:ascii="Times New Roman" w:hAnsi="Times New Roman"/>
          <w:sz w:val="20"/>
        </w:rPr>
      </w:pPr>
      <w:r>
        <w:rPr>
          <w:rFonts w:ascii="Times New Roman" w:hAnsi="Times New Roman"/>
          <w:sz w:val="20"/>
        </w:rPr>
        <w:t xml:space="preserve">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33519_11"/>
      <w:bookmarkEnd w:id="2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33519_12"/>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sell the securities offered by this prospectus in any one or more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short or long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put or call option transactions relating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agents or other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though 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securities may be distributed from time to time in one or more transactions 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related to the prevailing market price;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method of distribution and the terms and conditions of the offering of such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to us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the underwriters may purchase additional shares of common stock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concessions, commissions or agency fees and other items constituting compensation to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by underwriters or dealers to other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offering expenses;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offered in the prospectus supplement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to our existing security holders, through a dividend or similar distribution, rights to purchase shares of our common stock or preferred stock, debt securities or units, which may or may not be transferable. In any distribution of rights to our existing security 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The applicable prospectus supplement will describe the specific terms of any offering of our common stock or preferred stock through the issuance of rights, including, if applicable, the material terms of any standby underwriting or purchase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or their representatives at the time an agreement for sale is reached. Unless we inform you otherwise in the applicable prospectus supplement, the obligations of the underwriters to purchase the securities will be subject to certain conditions. The underwriters may change from time to time any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in transactions not involving underwriters, dealers or agents.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sale of those securities. We will describe the terms of any such sales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the prospectus supplement indicates, we may authorize underwriters, dealers or agents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all preferred stock, debt securities, warrants, rights and units will be new issues of securities with no established trading market. Unless indicated in the applicable prospectus supplement, we do not expect to list the offered securities on a securities exchange, except for our common stock, which is listed on The Nasdaq Global Select Market.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also engage in stabilizing transactions, syndicate covering transactions and penalty bids in accordance with Rule 104 of Regulation M under the Exchange Act. Stabilizing transactions involve bids to purchase the underlying security in the open market for the purpose of preventing or retarding a decline in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stabilizing or syndicate covering transaction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Stabilizing transactions, syndicate covering transactions and penalty bids may have the effect of raising or maintaining the market price of our securities or preventing or retarding a decline in the price of our securities. As a result, the price of the securities in the open market may be higher than it would otherwise be in the absence of these transactions. The underwriters may, if they commence these transactions, discontinue them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Hedging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Auctions </w:t>
      </w:r>
    </w:p>
    <w:p>
      <w:pPr>
        <w:pStyle w:val="TextBody"/>
        <w:bidi w:val="0"/>
        <w:spacing w:before="120" w:after="0"/>
        <w:jc w:val="left"/>
        <w:rPr>
          <w:rFonts w:ascii="Times New Roman" w:hAnsi="Times New Roman"/>
          <w:sz w:val="20"/>
        </w:rPr>
      </w:pPr>
      <w:r>
        <w:rPr>
          <w:rFonts w:ascii="Times New Roman" w:hAnsi="Times New Roman"/>
          <w:sz w:val="20"/>
        </w:rPr>
        <w:t xml:space="preserve">We may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carefully review the description of that system, which we will provide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Underwriters, dealers and agents may engage in transactions with or perform services for us in the ordinary course of their businesses for which they may receive customary fees and reimbursement of expenses. We may have a material relationship with the underwriters, dealers or agents. We will describe the nature of such relationship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securities offered by this prospectus may be sold in those states only through registered or licensed brokers or dealers. 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be entitled, under agreements entered into with us, to be indemnified by us against certain liabilities, including liabilities under the Securities Act. Our underwriters, dealers and agents, or their affiliates, may be customers of, engage in transactions with or perform services for us,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33519_13"/>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will be passed upon for us by Covington &amp; Burling LLP, Washington, D.C. Counsel for any underwriters, dealers or agents will be named in the applicable prospectus supplement. </w:t>
      </w:r>
    </w:p>
    <w:p>
      <w:pPr>
        <w:pStyle w:val="TextBody"/>
        <w:bidi w:val="0"/>
        <w:spacing w:before="480" w:after="0"/>
        <w:jc w:val="center"/>
        <w:rPr>
          <w:rFonts w:ascii="Times New Roman" w:hAnsi="Times New Roman"/>
          <w:b/>
          <w:sz w:val="20"/>
        </w:rPr>
      </w:pPr>
      <w:bookmarkStart w:id="30" w:name="tx133519_14"/>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960" w:after="0"/>
        <w:jc w:val="center"/>
        <w:rPr>
          <w:rFonts w:ascii="Times New Roman" w:hAnsi="Times New Roman"/>
          <w:b/>
          <w:sz w:val="32"/>
        </w:rPr>
      </w:pPr>
      <w:r>
        <w:rPr>
          <w:rFonts w:ascii="Times New Roman" w:hAnsi="Times New Roman"/>
          <w:b/>
          <w:sz w:val="32"/>
        </w:rPr>
        <w:t xml:space="preserve">$100,000,000 </w:t>
      </w:r>
    </w:p>
    <w:p>
      <w:pPr>
        <w:pStyle w:val="TextBody"/>
        <w:bidi w:val="0"/>
        <w:spacing w:before="0" w:after="0"/>
        <w:jc w:val="center"/>
        <w:rPr/>
      </w:pPr>
      <w:r>
        <w:rPr/>
        <w:drawing>
          <wp:inline distT="0" distB="0" distL="0" distR="0">
            <wp:extent cx="5791200" cy="10814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5791200" cy="1081405"/>
                    </a:xfrm>
                    <a:prstGeom prst="rect">
                      <a:avLst/>
                    </a:prstGeom>
                  </pic:spPr>
                </pic:pic>
              </a:graphicData>
            </a:graphic>
          </wp:inline>
        </w:drawing>
      </w:r>
      <w:r>
        <w:rPr/>
        <w:t xml:space="preserve"> </w:t>
      </w:r>
    </w:p>
    <w:p>
      <w:pPr>
        <w:pStyle w:val="TextBody"/>
        <w:bidi w:val="0"/>
        <w:spacing w:before="720" w:after="0"/>
        <w:jc w:val="center"/>
        <w:rPr>
          <w:rFonts w:ascii="Times New Roman" w:hAnsi="Times New Roman"/>
          <w:b/>
          <w:sz w:val="48"/>
        </w:rPr>
      </w:pPr>
      <w:r>
        <w:rPr>
          <w:rFonts w:ascii="Times New Roman" w:hAnsi="Times New Roman"/>
          <w:b/>
          <w:sz w:val="48"/>
        </w:rPr>
        <w:t xml:space="preserve">REGENXBIO Inc. </w:t>
      </w:r>
    </w:p>
    <w:p>
      <w:pPr>
        <w:pStyle w:val="TextBody"/>
        <w:bidi w:val="0"/>
        <w:spacing w:before="720" w:after="0"/>
        <w:jc w:val="center"/>
        <w:rPr/>
      </w:pPr>
      <w:r>
        <w:rPr/>
        <w:t xml:space="preserve">     </w:t>
      </w: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102"/>
        <w:gridCol w:w="2654"/>
        <w:gridCol w:w="102"/>
        <w:gridCol w:w="3367"/>
        <w:gridCol w:w="102"/>
        <w:gridCol w:w="1225"/>
      </w:tblGrid>
      <w:tr>
        <w:trPr/>
        <w:tc>
          <w:tcPr>
            <w:tcW w:w="265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2654" w:type="dxa"/>
            <w:tcBorders/>
          </w:tcPr>
          <w:p>
            <w:pPr>
              <w:pStyle w:val="TableContents"/>
              <w:bidi w:val="0"/>
              <w:spacing w:before="0" w:after="283"/>
              <w:jc w:val="center"/>
              <w:rPr>
                <w:b/>
              </w:rPr>
            </w:pPr>
            <w:r>
              <w:rPr>
                <w:b/>
              </w:rPr>
              <w:t>J.P. Morgan</w:t>
            </w:r>
          </w:p>
        </w:tc>
        <w:tc>
          <w:tcPr>
            <w:tcW w:w="102" w:type="dxa"/>
            <w:tcBorders/>
            <w:vAlign w:val="bottom"/>
          </w:tcPr>
          <w:p>
            <w:pPr>
              <w:pStyle w:val="TableContents"/>
              <w:bidi w:val="0"/>
              <w:spacing w:before="0" w:after="283"/>
              <w:jc w:val="left"/>
              <w:rPr/>
            </w:pPr>
            <w:r>
              <w:rPr/>
              <w:t> </w:t>
            </w:r>
          </w:p>
        </w:tc>
        <w:tc>
          <w:tcPr>
            <w:tcW w:w="3367" w:type="dxa"/>
            <w:tcBorders/>
            <w:vAlign w:val="bottom"/>
          </w:tcPr>
          <w:p>
            <w:pPr>
              <w:pStyle w:val="TableContents"/>
              <w:bidi w:val="0"/>
              <w:spacing w:before="0" w:after="283"/>
              <w:jc w:val="center"/>
              <w:rPr>
                <w:b/>
              </w:rPr>
            </w:pPr>
            <w:r>
              <w:rPr>
                <w:b/>
              </w:rPr>
              <w:t>Leerink Partners</w:t>
            </w:r>
          </w:p>
        </w:tc>
        <w:tc>
          <w:tcPr>
            <w:tcW w:w="10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Mizuho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July   ,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90877/000119312526094013/rgnx-20251231.htm" TargetMode="External"/><Relationship Id="rId4" Type="http://schemas.openxmlformats.org/officeDocument/2006/relationships/hyperlink" Target="http://www.sec.gov/Archives/edgar/data/../../../ix?doc=/Archives/edgar/data/1590877/000119312526222804/rgnx-20260331.htm" TargetMode="External"/><Relationship Id="rId5" Type="http://schemas.openxmlformats.org/officeDocument/2006/relationships/hyperlink" Target="http://www.sec.gov/Archives/edgar/data/../../../ix?doc=/Archives/edgar/data/1590877/000119312526026139/rgnx-20260123.htm" TargetMode="External"/><Relationship Id="rId6" Type="http://schemas.openxmlformats.org/officeDocument/2006/relationships/hyperlink" Target="http://www.sec.gov/Archives/edgar/data/../../../ix?doc=/Archives/edgar/data/1590877/000119312526043342/rgnx-20260207.htm" TargetMode="External"/><Relationship Id="rId7" Type="http://schemas.openxmlformats.org/officeDocument/2006/relationships/hyperlink" Target="http://www.sec.gov/Archives/edgar/data/../../../ix?doc=/Archives/edgar/data/1590877/000119312526117913/rgnx-20260318.htm" TargetMode="External"/><Relationship Id="rId8" Type="http://schemas.openxmlformats.org/officeDocument/2006/relationships/hyperlink" Target="http://www.sec.gov/Archives/edgar/data/../../../ix?doc=/Archives/edgar/data/1590877/000119312526222768/rgnx-20260514.htm" TargetMode="External"/><Relationship Id="rId9" Type="http://schemas.openxmlformats.org/officeDocument/2006/relationships/hyperlink" Target="http://www.sec.gov/Archives/edgar/data/../../../ix?doc=/Archives/edgar/data/1590877/000119312526254590/rgnx-20260529.htm" TargetMode="External"/><Relationship Id="rId10" Type="http://schemas.openxmlformats.org/officeDocument/2006/relationships/hyperlink" Target="http://www.sec.gov/Archives/edgar/data/../../../ix?doc=/Archives/edgar/data/1590877/000119312526286825/rgnx-20260623.htm" TargetMode="External"/><Relationship Id="rId11" Type="http://schemas.openxmlformats.org/officeDocument/2006/relationships/hyperlink" Target="http://www.sec.gov/Archives/edgar/data/1590877/000095017025038770/rgnx-ex4_2.htm" TargetMode="External"/><Relationship Id="rId12" Type="http://schemas.openxmlformats.org/officeDocument/2006/relationships/hyperlink" Target="http://www.sec.gov/Archives/edgar/data/../../../ix?doc=/Archives/edgar/data/1590877/000095017025038770/rgnx-20241231.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1590877/000095017025038770/rgnx-20241231.htm" TargetMode="External"/><Relationship Id="rId15" Type="http://schemas.openxmlformats.org/officeDocument/2006/relationships/hyperlink" Target="http://www.sec.gov/Archives/edgar/data/../../../ix?doc=/Archives/edgar/data/1590877/000095017025069237/rgnx-20250331.htm" TargetMode="External"/><Relationship Id="rId16" Type="http://schemas.openxmlformats.org/officeDocument/2006/relationships/hyperlink" Target="http://www.sec.gov/Archives/edgar/data/../../../ix?doc=/Archives/edgar/data/1590877/000119312525174953/rgnx-20250630.htm" TargetMode="External"/><Relationship Id="rId17" Type="http://schemas.openxmlformats.org/officeDocument/2006/relationships/hyperlink" Target="http://www.sec.gov/Archives/edgar/data/../../../ix?doc=/Archives/edgar/data/1590877/000119312525268095/rgnx-20250930.htm" TargetMode="External"/><Relationship Id="rId18" Type="http://schemas.openxmlformats.org/officeDocument/2006/relationships/hyperlink" Target="http://www.sec.gov/Archives/edgar/data/../../../ix?doc=/Archives/edgar/data/0001590877/000119312525005659/d868307d8k.htm" TargetMode="External"/><Relationship Id="rId19" Type="http://schemas.openxmlformats.org/officeDocument/2006/relationships/hyperlink" Target="http://www.sec.gov/Archives/edgar/data/../../../ix?doc=/Archives/edgar/data/0001590877/000119312525045585/d909911d8k.htm" TargetMode="External"/><Relationship Id="rId20" Type="http://schemas.openxmlformats.org/officeDocument/2006/relationships/hyperlink" Target="http://www.sec.gov/Archives/edgar/data/../../../ix?doc=/Archives/edgar/data/0001590877/000119312525122456/d31892d8k.htm" TargetMode="External"/><Relationship Id="rId21" Type="http://schemas.openxmlformats.org/officeDocument/2006/relationships/hyperlink" Target="http://www.sec.gov/Archives/edgar/data/../../../ix?doc=/Archives/edgar/data/0001590877/000095017025080986/rgnx-20250530.htm" TargetMode="External"/><Relationship Id="rId22" Type="http://schemas.openxmlformats.org/officeDocument/2006/relationships/hyperlink" Target="http://www.sec.gov/Archives/edgar/data/../../../ix?doc=/Archives/edgar/data/1590877/000119312525174947/rgnx-20250805.htm" TargetMode="External"/><Relationship Id="rId23" Type="http://schemas.openxmlformats.org/officeDocument/2006/relationships/hyperlink" Target="http://www.sec.gov/Archives/edgar/data/../../../ix?doc=/Archives/edgar/data/1590877/000095017025109829/rgnx-20250818.htm" TargetMode="External"/><Relationship Id="rId24" Type="http://schemas.openxmlformats.org/officeDocument/2006/relationships/hyperlink" Target="http://www.sec.gov/Archives/edgar/data/1590877/000095017025038770/rgnx-ex4_2.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84</Pages>
  <Words>30390</Words>
  <Characters>161050</Characters>
  <CharactersWithSpaces>192352</CharactersWithSpaces>
  <Paragraphs>2365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