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140" w:firstLine="749"/>
        <w:spacing w:after="0" w:line="222" w:lineRule="exact"/>
        <w:rPr>
          <w:sz w:val="20"/>
          <w:szCs w:val="20"/>
          <w:color w:val="auto"/>
        </w:rPr>
      </w:pPr>
      <w:r>
        <w:rPr>
          <w:rFonts w:ascii="Times New Roman" w:cs="Times New Roman" w:eastAsia="Times New Roman" w:hAnsi="Times New Roman"/>
          <w:sz w:val="18"/>
          <w:szCs w:val="18"/>
          <w:color w:val="auto"/>
        </w:rPr>
        <w:t>On November 5, 2026, REGENXBIO Inc. (the “Company”) issued a press release regarding its results of operations and financial condition for the quarter ended September 30, 2026.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by reference herein.</w:t>
      </w:r>
    </w:p>
    <w:p>
      <w:pPr>
        <w:spacing w:after="0" w:line="158"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2.02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8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November 5, 2026 relating to REGENXBIO Inc.’s financial results.</w:t>
            </w:r>
          </w:p>
        </w:tc>
        <w:tc>
          <w:tcPr>
            <w:tcW w:w="20" w:type="dxa"/>
            <w:vAlign w:val="bottom"/>
            <w:tcBorders>
              <w:top w:val="single" w:sz="8" w:color="auto"/>
              <w:bottom w:val="single" w:sz="8" w:color="0000EE"/>
            </w:tcBorders>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Reports Third Quarter 2026 Financial Results and Operational Highlights</w:t>
      </w:r>
    </w:p>
    <w:p>
      <w:pPr>
        <w:spacing w:after="0" w:line="204" w:lineRule="exact"/>
        <w:rPr>
          <w:sz w:val="20"/>
          <w:szCs w:val="20"/>
          <w:color w:val="auto"/>
        </w:rPr>
      </w:pPr>
    </w:p>
    <w:p>
      <w:pPr>
        <w:ind w:left="760" w:right="160" w:hanging="378"/>
        <w:spacing w:after="0" w:line="241"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RGX-202 BLA submission for Duchenne muscular dystrophy on track for Q1 2027, with potential accelerated approval in 2H 2027</w:t>
      </w:r>
    </w:p>
    <w:p>
      <w:pPr>
        <w:spacing w:after="0" w:line="1" w:lineRule="exact"/>
        <w:rPr>
          <w:rFonts w:ascii="Times New Roman" w:cs="Times New Roman" w:eastAsia="Times New Roman" w:hAnsi="Times New Roman"/>
          <w:sz w:val="18"/>
          <w:szCs w:val="18"/>
          <w:color w:val="auto"/>
        </w:rPr>
      </w:pPr>
    </w:p>
    <w:p>
      <w:pPr>
        <w:ind w:left="760" w:hanging="378"/>
        <w:spacing w:after="0" w:line="18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Topline data from pivotal subretinal wet AMD studies, ATMOSPHERE</w:t>
      </w:r>
      <w:r>
        <w:rPr>
          <w:rFonts w:ascii="Arial" w:cs="Arial" w:eastAsia="Arial" w:hAnsi="Arial"/>
          <w:sz w:val="26"/>
          <w:szCs w:val="26"/>
          <w:i w:val="1"/>
          <w:iCs w:val="1"/>
          <w:color w:val="auto"/>
          <w:vertAlign w:val="superscript"/>
        </w:rPr>
        <w:t>®</w:t>
      </w:r>
      <w:r>
        <w:rPr>
          <w:rFonts w:ascii="Arial" w:cs="Arial" w:eastAsia="Arial" w:hAnsi="Arial"/>
          <w:sz w:val="20"/>
          <w:szCs w:val="20"/>
          <w:i w:val="1"/>
          <w:iCs w:val="1"/>
          <w:color w:val="auto"/>
        </w:rPr>
        <w:t xml:space="preserve"> and ASCENT</w:t>
      </w:r>
      <w:r>
        <w:rPr>
          <w:rFonts w:ascii="Arial" w:cs="Arial" w:eastAsia="Arial" w:hAnsi="Arial"/>
          <w:sz w:val="26"/>
          <w:szCs w:val="26"/>
          <w:i w:val="1"/>
          <w:iCs w:val="1"/>
          <w:color w:val="auto"/>
          <w:vertAlign w:val="superscript"/>
        </w:rPr>
        <w:t>®</w:t>
      </w:r>
      <w:r>
        <w:rPr>
          <w:rFonts w:ascii="Arial" w:cs="Arial" w:eastAsia="Arial" w:hAnsi="Arial"/>
          <w:sz w:val="20"/>
          <w:szCs w:val="20"/>
          <w:i w:val="1"/>
          <w:iCs w:val="1"/>
          <w:color w:val="auto"/>
        </w:rPr>
        <w:t>, expected in Q4 2026</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Phase IIb/III NAAVIGATE trial for diabetic retinopathy ongoing</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Webcast today at 8:00 a.m. ET</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ROCKVILLE, Md., November 5, 2026 (PR Newswire) -- REGENXBIO Inc. (Nasdaq: RGNX) today reported financial results and operational highlights for the third quarter ended September 30, 2026.</w:t>
      </w:r>
    </w:p>
    <w:p>
      <w:pPr>
        <w:spacing w:after="0" w:line="155"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“We are continuing to build momentum as we prepare to launch potential first- or best-in-class gene therapies in 2027 and 2028,” said Curran Simpson, President and Chief Executive Officer of REGENXBIO. “With topline pivotal data expected this quarter, sura-vec has the potential to transform the treatment paradigm for a broad spectrum of patients with wet AMD. We also remain on track for the RGX-202 BLA submission early next year as we work toward delivering this important therapy to Duchenne patients as quickly as possible. We remain focused on executing these near-term milestones and leveraging our fully integrated capabilities to deliver meaningful new treatment options for patients.”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HIGHLIGHTS AND MILESTONES</w:t>
      </w:r>
    </w:p>
    <w:p>
      <w:pPr>
        <w:spacing w:after="0" w:line="202"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auto"/>
        </w:rPr>
        <w:t xml:space="preserve">Neuromuscular Disease: </w:t>
      </w:r>
      <w:r>
        <w:rPr>
          <w:rFonts w:ascii="Arial" w:cs="Arial" w:eastAsia="Arial" w:hAnsi="Arial"/>
          <w:sz w:val="20"/>
          <w:szCs w:val="20"/>
          <w:color w:val="auto"/>
        </w:rPr>
        <w:t>RGX-202 is a potential best-in-class gene therapy for Duchenne muscular dystrophy (Duchenne).</w:t>
      </w:r>
      <w:r>
        <w:rPr>
          <w:rFonts w:ascii="Arial" w:cs="Arial" w:eastAsia="Arial" w:hAnsi="Arial"/>
          <w:sz w:val="20"/>
          <w:szCs w:val="20"/>
          <w:b w:val="1"/>
          <w:bCs w:val="1"/>
          <w:color w:val="auto"/>
        </w:rPr>
        <w:t xml:space="preserve"> </w:t>
      </w:r>
      <w:r>
        <w:rPr>
          <w:rFonts w:ascii="Arial" w:cs="Arial" w:eastAsia="Arial" w:hAnsi="Arial"/>
          <w:sz w:val="20"/>
          <w:szCs w:val="20"/>
          <w:color w:val="auto"/>
        </w:rPr>
        <w:t>RGX-202 is designed to address the underlying cause of Duchenne by enabling targeted expression of a novel microdystrophin that is closest to naturally occurring dystrophin. The differentiated therapeutic approach behind RGX-202 includes a novel construct, with the C-Terminal domain, a proactive immune suppression regimen, and a suspension-based manufacturing process that delivers industry-leading product purity levels. RGX-202 is designed for improved muscle function, durability and positive safety outcomes and is being evaluated in the Phase I/II/III AFFINITY DUCHENNE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and confirmatory trial in ambulatory patients aged 1+.</w:t>
      </w:r>
    </w:p>
    <w:p>
      <w:pPr>
        <w:spacing w:after="0" w:line="7" w:lineRule="exact"/>
        <w:rPr>
          <w:sz w:val="20"/>
          <w:szCs w:val="20"/>
          <w:color w:val="auto"/>
        </w:rPr>
      </w:pPr>
    </w:p>
    <w:p>
      <w:pPr>
        <w:jc w:val="both"/>
        <w:ind w:left="760" w:right="280" w:hanging="378"/>
        <w:spacing w:after="0" w:line="236" w:lineRule="auto"/>
        <w:tabs>
          <w:tab w:leader="none" w:pos="76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The Company expects to have a pre-Biologics License Application (BLA) meeting with the FDA in Q4 2026 and is on track to submit a BLA in Q1 2027 under the accelerated approval pathway, supporting potential approval in 2H 2027.</w:t>
      </w:r>
    </w:p>
    <w:p>
      <w:pPr>
        <w:spacing w:after="0" w:line="1" w:lineRule="exact"/>
        <w:rPr>
          <w:rFonts w:ascii="Times New Roman" w:cs="Times New Roman" w:eastAsia="Times New Roman" w:hAnsi="Times New Roman"/>
          <w:sz w:val="19"/>
          <w:szCs w:val="19"/>
          <w:color w:val="auto"/>
        </w:rPr>
      </w:pPr>
    </w:p>
    <w:p>
      <w:pPr>
        <w:ind w:left="760" w:right="820" w:hanging="378"/>
        <w:spacing w:after="0" w:line="232"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REGENXBIO continues to manufacture intended commercial supply of RGX-202 at its in-house Manufacturing Innovation Center.</w:t>
      </w:r>
    </w:p>
    <w:p>
      <w:pPr>
        <w:ind w:left="760" w:right="300" w:hanging="378"/>
        <w:spacing w:after="0" w:line="208"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REGENXBIO expects to initiate AFFINITY</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RISE, an ex-U.S. randomized, placebo-controlled study to support RGX-202 global regulatory submissions, in 1H 2027.</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9"/>
          <w:szCs w:val="19"/>
          <w:b w:val="1"/>
          <w:bCs w:val="1"/>
          <w:color w:val="auto"/>
        </w:rPr>
        <w:t xml:space="preserve">Retinal Disease: </w:t>
      </w:r>
      <w:r>
        <w:rPr>
          <w:rFonts w:ascii="Arial" w:cs="Arial" w:eastAsia="Arial" w:hAnsi="Arial"/>
          <w:sz w:val="19"/>
          <w:szCs w:val="19"/>
          <w:color w:val="auto"/>
        </w:rPr>
        <w:t>Surabgene lomparvovec (sura-vec, ABBV-RGX-314), developed in collaboration with AbbVie, is potentially</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first-in-class gene therapy treatment for wet age-related macular degeneration (wet AMD) and diabetic retinopathy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Sura-vec for the Treatment of Wet AMD (Subretinal Delivery)</w:t>
      </w:r>
    </w:p>
    <w:p>
      <w:pPr>
        <w:spacing w:after="0" w:line="18" w:lineRule="exact"/>
        <w:rPr>
          <w:sz w:val="20"/>
          <w:szCs w:val="20"/>
          <w:color w:val="auto"/>
        </w:rPr>
      </w:pPr>
    </w:p>
    <w:p>
      <w:pPr>
        <w:ind w:left="760" w:right="260" w:hanging="378"/>
        <w:spacing w:after="0" w:line="196"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expects to announce topline data with AbbVie from the ATMOSPHERE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ASCENT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pivotal trials of sura-vec using subretinal delivery in Q4 2026.</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Global regulatory submissions are expected in 2027.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DR (Suprachoroidal Delivery)</w:t>
      </w:r>
    </w:p>
    <w:p>
      <w:pPr>
        <w:spacing w:after="0" w:line="18" w:lineRule="exact"/>
        <w:rPr>
          <w:sz w:val="20"/>
          <w:szCs w:val="20"/>
          <w:color w:val="auto"/>
        </w:rPr>
      </w:pPr>
    </w:p>
    <w:p>
      <w:pPr>
        <w:ind w:left="760" w:right="280" w:hanging="378"/>
        <w:spacing w:after="0" w:line="204"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Long-term follow-up data from the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presented at the Retina Society 59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Scientific Meeting in September 2026, showed a durable safety and efficacy profile through 3 years at the dose being evaluated in the Phase IIb/III NAAVIGATE study with short-course prophylactic topical steroids.</w:t>
      </w:r>
    </w:p>
    <w:p>
      <w:pPr>
        <w:spacing w:after="0" w:line="2" w:lineRule="exact"/>
        <w:rPr>
          <w:rFonts w:ascii="Times New Roman" w:cs="Times New Roman" w:eastAsia="Times New Roman" w:hAnsi="Times New Roman"/>
          <w:sz w:val="20"/>
          <w:szCs w:val="20"/>
          <w:color w:val="auto"/>
        </w:rPr>
      </w:pPr>
    </w:p>
    <w:p>
      <w:pPr>
        <w:ind w:left="760" w:right="60" w:hanging="378"/>
        <w:spacing w:after="0" w:line="234"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NAAVIGATE, a multicenter, randomized, masked, sham-controlled study enrolling subjects with non-proliferative DR (NPDR) without center-involved diabetic macular edema (CI-DME) to evaluate the safety and efficacy of a one-time, in-office administration of sura-vec, is enrolling.</w:t>
      </w:r>
    </w:p>
    <w:p>
      <w:pPr>
        <w:spacing w:after="0" w:line="170" w:lineRule="exact"/>
        <w:rPr>
          <w:sz w:val="20"/>
          <w:szCs w:val="20"/>
          <w:color w:val="auto"/>
        </w:rPr>
      </w:pPr>
    </w:p>
    <w:p>
      <w:pPr>
        <w:ind w:right="560"/>
        <w:spacing w:after="0" w:line="235" w:lineRule="auto"/>
        <w:rPr>
          <w:sz w:val="20"/>
          <w:szCs w:val="20"/>
          <w:color w:val="auto"/>
        </w:rPr>
      </w:pPr>
      <w:r>
        <w:rPr>
          <w:rFonts w:ascii="Arial" w:cs="Arial" w:eastAsia="Arial" w:hAnsi="Arial"/>
          <w:sz w:val="20"/>
          <w:szCs w:val="20"/>
          <w:b w:val="1"/>
          <w:bCs w:val="1"/>
          <w:color w:val="auto"/>
        </w:rPr>
        <w:t xml:space="preserve">Neurodegenerative Disease: </w:t>
      </w:r>
      <w:r>
        <w:rPr>
          <w:rFonts w:ascii="Arial" w:cs="Arial" w:eastAsia="Arial" w:hAnsi="Arial"/>
          <w:sz w:val="20"/>
          <w:szCs w:val="20"/>
          <w:color w:val="auto"/>
        </w:rPr>
        <w:t>RGX-121 (clemidsogene lanparvovec) is a potential first-in-class treatment for MPS II, also</w:t>
      </w:r>
      <w:r>
        <w:rPr>
          <w:rFonts w:ascii="Arial" w:cs="Arial" w:eastAsia="Arial" w:hAnsi="Arial"/>
          <w:sz w:val="20"/>
          <w:szCs w:val="20"/>
          <w:b w:val="1"/>
          <w:bCs w:val="1"/>
          <w:color w:val="auto"/>
        </w:rPr>
        <w:t xml:space="preserve"> </w:t>
      </w:r>
      <w:r>
        <w:rPr>
          <w:rFonts w:ascii="Arial" w:cs="Arial" w:eastAsia="Arial" w:hAnsi="Arial"/>
          <w:sz w:val="20"/>
          <w:szCs w:val="20"/>
          <w:color w:val="auto"/>
        </w:rPr>
        <w:t>known as Hunter syndrome, being developed and potentially commercialized in partnership with Nippon Shinyaku.</w:t>
      </w:r>
    </w:p>
    <w:p>
      <w:pPr>
        <w:spacing w:after="0" w:line="2" w:lineRule="exact"/>
        <w:rPr>
          <w:sz w:val="20"/>
          <w:szCs w:val="20"/>
          <w:color w:val="auto"/>
        </w:rPr>
      </w:pPr>
    </w:p>
    <w:p>
      <w:pPr>
        <w:ind w:left="760" w:right="220" w:hanging="378"/>
        <w:spacing w:after="0" w:line="217"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In August 2026, REGENXBIO announced the FDA placed a clinical hold on RGX-121 following the discovery of asymptomatic spine MRI findings in five participants in the CAMPSIITE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study. REGENXBIO continues to collect and evaluate additional patient imaging and long-term follow-up data.</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i w:val="1"/>
          <w:iCs w:val="1"/>
          <w:color w:val="auto"/>
        </w:rPr>
        <w:t xml:space="preserve">Cash Position: </w:t>
      </w:r>
      <w:r>
        <w:rPr>
          <w:rFonts w:ascii="Arial" w:cs="Arial" w:eastAsia="Arial" w:hAnsi="Arial"/>
          <w:sz w:val="20"/>
          <w:szCs w:val="20"/>
          <w:color w:val="auto"/>
        </w:rPr>
        <w:t>Cash, cash equivalents and marketable securities were $251.0 million as of September 30, 2026,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$240.9 million as of December 31, 2025. The increase was primarily attributable to a $100.0 million milestone payment received from AbbVie in July 2026 for the dosing of the first patient in the Phase IIb/III NAAVIGATE study and net proceeds of $107.8 million from an underwritten public offering of common stock and pre-funded warrants completed in July 2026, and was partially offset by cash used to fund operating activities during the nine months ended September 30, 2026. Cash, cash equivalents and marketable securities as of September 30, 2026 excludes a $39.0 million payment received in October 2026 pursuant to a settlement agreement with Sarepta Therapeutics.</w:t>
      </w:r>
    </w:p>
    <w:p>
      <w:pPr>
        <w:spacing w:after="0" w:line="174" w:lineRule="exact"/>
        <w:rPr>
          <w:sz w:val="20"/>
          <w:szCs w:val="20"/>
          <w:color w:val="auto"/>
        </w:rPr>
      </w:pPr>
    </w:p>
    <w:p>
      <w:pPr>
        <w:spacing w:after="0" w:line="226" w:lineRule="auto"/>
        <w:rPr>
          <w:sz w:val="20"/>
          <w:szCs w:val="20"/>
          <w:color w:val="auto"/>
        </w:rPr>
      </w:pPr>
      <w:r>
        <w:rPr>
          <w:rFonts w:ascii="Arial" w:cs="Arial" w:eastAsia="Arial" w:hAnsi="Arial"/>
          <w:sz w:val="19"/>
          <w:szCs w:val="19"/>
          <w:i w:val="1"/>
          <w:iCs w:val="1"/>
          <w:color w:val="auto"/>
        </w:rPr>
        <w:t xml:space="preserve">Revenues: </w:t>
      </w:r>
      <w:r>
        <w:rPr>
          <w:rFonts w:ascii="Arial" w:cs="Arial" w:eastAsia="Arial" w:hAnsi="Arial"/>
          <w:sz w:val="19"/>
          <w:szCs w:val="19"/>
          <w:color w:val="auto"/>
        </w:rPr>
        <w:t>Revenues were $9.2 million for the three months ended September 30, 2026, compared to $29.7 million for the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ended September 30, 2025. The decrease was primarily attributable to ZOLGENSMA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royalty revenues, which decreased by $21.2 million due primarily to the expiration of licensed patents in the U.S. in January 2026. The decrease was partially offset by ITVISMA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royalty revenues of $2.8 million for the third quarter of 2026. Novartis launched U.S. sales of ITVISMA in the first quarter of 2026. ITVISMA is now also approved in the EU, Japan and multiple Gulf countries. REGENXBIO is entitled to royalties on certain net sales of ITVISMA in the U.S. and other jurisdictions with patents extending until 2037.</w:t>
      </w:r>
    </w:p>
    <w:p>
      <w:pPr>
        <w:spacing w:after="0" w:line="175" w:lineRule="exact"/>
        <w:rPr>
          <w:sz w:val="20"/>
          <w:szCs w:val="20"/>
          <w:color w:val="auto"/>
        </w:rPr>
      </w:pPr>
    </w:p>
    <w:p>
      <w:pPr>
        <w:jc w:val="both"/>
        <w:ind w:right="360"/>
        <w:spacing w:after="0" w:line="241" w:lineRule="auto"/>
        <w:rPr>
          <w:sz w:val="20"/>
          <w:szCs w:val="20"/>
          <w:color w:val="auto"/>
        </w:rPr>
      </w:pPr>
      <w:r>
        <w:rPr>
          <w:rFonts w:ascii="Arial" w:cs="Arial" w:eastAsia="Arial" w:hAnsi="Arial"/>
          <w:sz w:val="20"/>
          <w:szCs w:val="20"/>
          <w:i w:val="1"/>
          <w:iCs w:val="1"/>
          <w:color w:val="auto"/>
        </w:rPr>
        <w:t>Research and Development (R&amp;D) Expenses</w:t>
      </w:r>
      <w:r>
        <w:rPr>
          <w:rFonts w:ascii="Arial" w:cs="Arial" w:eastAsia="Arial" w:hAnsi="Arial"/>
          <w:sz w:val="20"/>
          <w:szCs w:val="20"/>
          <w:color w:val="auto"/>
        </w:rPr>
        <w:t>: R&amp;D expenses were $61.0 million for the three months ended September 30,</w:t>
      </w:r>
      <w:r>
        <w:rPr>
          <w:rFonts w:ascii="Arial" w:cs="Arial" w:eastAsia="Arial" w:hAnsi="Arial"/>
          <w:sz w:val="20"/>
          <w:szCs w:val="20"/>
          <w:i w:val="1"/>
          <w:iCs w:val="1"/>
          <w:color w:val="auto"/>
        </w:rPr>
        <w:t xml:space="preserve"> </w:t>
      </w:r>
      <w:r>
        <w:rPr>
          <w:rFonts w:ascii="Arial" w:cs="Arial" w:eastAsia="Arial" w:hAnsi="Arial"/>
          <w:sz w:val="20"/>
          <w:szCs w:val="20"/>
          <w:color w:val="auto"/>
        </w:rPr>
        <w:t>2026, compared to $56.1 million for the three months ended September 30, 2025. The increase was primarily attributable to clinical trial expenses for RGX-202.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ind w:right="400"/>
        <w:spacing w:after="0" w:line="257" w:lineRule="auto"/>
        <w:rPr>
          <w:sz w:val="20"/>
          <w:szCs w:val="20"/>
          <w:color w:val="auto"/>
        </w:rPr>
      </w:pPr>
      <w:r>
        <w:rPr>
          <w:rFonts w:ascii="Arial" w:cs="Arial" w:eastAsia="Arial" w:hAnsi="Arial"/>
          <w:sz w:val="20"/>
          <w:szCs w:val="20"/>
          <w:i w:val="1"/>
          <w:iCs w:val="1"/>
          <w:color w:val="auto"/>
        </w:rPr>
        <w:t xml:space="preserve">General and Administrative (G&amp;A) Expenses: </w:t>
      </w:r>
      <w:r>
        <w:rPr>
          <w:rFonts w:ascii="Arial" w:cs="Arial" w:eastAsia="Arial" w:hAnsi="Arial"/>
          <w:sz w:val="20"/>
          <w:szCs w:val="20"/>
          <w:color w:val="auto"/>
        </w:rPr>
        <w:t>G&amp;A expenses were $20.6 million for the three months ended September 30,</w:t>
      </w:r>
      <w:r>
        <w:rPr>
          <w:rFonts w:ascii="Arial" w:cs="Arial" w:eastAsia="Arial" w:hAnsi="Arial"/>
          <w:sz w:val="20"/>
          <w:szCs w:val="20"/>
          <w:i w:val="1"/>
          <w:iCs w:val="1"/>
          <w:color w:val="auto"/>
        </w:rPr>
        <w:t xml:space="preserve"> </w:t>
      </w:r>
      <w:r>
        <w:rPr>
          <w:rFonts w:ascii="Arial" w:cs="Arial" w:eastAsia="Arial" w:hAnsi="Arial"/>
          <w:sz w:val="20"/>
          <w:szCs w:val="20"/>
          <w:color w:val="auto"/>
        </w:rPr>
        <w:t>2026, consistent with $20.3 million for the three months ended September 30, 2025.</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i w:val="1"/>
          <w:iCs w:val="1"/>
          <w:color w:val="auto"/>
        </w:rPr>
        <w:t xml:space="preserve">Gain on Litigation Settlement: </w:t>
      </w:r>
      <w:r>
        <w:rPr>
          <w:rFonts w:ascii="Arial" w:cs="Arial" w:eastAsia="Arial" w:hAnsi="Arial"/>
          <w:sz w:val="20"/>
          <w:szCs w:val="20"/>
          <w:color w:val="auto"/>
        </w:rPr>
        <w:t>REGENXBIO recorded a gain of $38.0 million in the third quarter of 2026 related to a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with Sarepta Therapeutics to resolve all patent litigation matters between the parties. The gain consisted of a $39.0 million settlement payment due from Sarepta, net of proceeds payable to certain licensors as a result of the settlement. The $39.0 million settlement payment was received from Sarepta in October 2026.</w:t>
      </w:r>
    </w:p>
    <w:p>
      <w:pPr>
        <w:spacing w:after="0" w:line="17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i w:val="1"/>
          <w:iCs w:val="1"/>
          <w:color w:val="auto"/>
        </w:rPr>
        <w:t>Net Loss</w:t>
      </w:r>
      <w:r>
        <w:rPr>
          <w:rFonts w:ascii="Arial" w:cs="Arial" w:eastAsia="Arial" w:hAnsi="Arial"/>
          <w:sz w:val="20"/>
          <w:szCs w:val="20"/>
          <w:color w:val="auto"/>
        </w:rPr>
        <w:t>: Net loss was $ 40.7 million, or $0.62 basic and diluted net loss per share, for the three months ended September 30,</w:t>
      </w:r>
      <w:r>
        <w:rPr>
          <w:rFonts w:ascii="Arial" w:cs="Arial" w:eastAsia="Arial" w:hAnsi="Arial"/>
          <w:sz w:val="20"/>
          <w:szCs w:val="20"/>
          <w:i w:val="1"/>
          <w:iCs w:val="1"/>
          <w:color w:val="auto"/>
        </w:rPr>
        <w:t xml:space="preserve"> </w:t>
      </w:r>
      <w:r>
        <w:rPr>
          <w:rFonts w:ascii="Arial" w:cs="Arial" w:eastAsia="Arial" w:hAnsi="Arial"/>
          <w:sz w:val="20"/>
          <w:szCs w:val="20"/>
          <w:color w:val="auto"/>
        </w:rPr>
        <w:t>2026, compared to a net loss of $61.9 million, or $1.20 basic and diluted net loss per share, for the three months ended September 30, 2025.</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REGENXBIO expects its balance in cash, cash equivalents and marketable securities of $251.0 million as of September 30, 2026, along with the $39.0 million settlement proceeds received in October 2026, are sufficient to fund operations into late Q4 2027. This cash runway guidance is based on the Company’s current operational plans and excludes the impact of any material payments that may potentially be received from partners or licensees upon the achievement of development or regulatory milestones, or upon the approval or commercialization of product candidates, and excludes any additional potential dilutive or non-dilutive funding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 xml:space="preserve">In connection with this announcement, REGENXBIO will host a conference call and webcast at 8:00 a.m. ET today. Listeners can register for the webcast via this </w:t>
      </w:r>
      <w:r>
        <w:rPr>
          <w:rFonts w:ascii="Arial" w:cs="Arial" w:eastAsia="Arial" w:hAnsi="Arial"/>
          <w:sz w:val="20"/>
          <w:szCs w:val="20"/>
          <w:u w:val="single" w:color="auto"/>
          <w:color w:val="0000FF"/>
        </w:rPr>
        <w:t>link</w:t>
      </w:r>
      <w:r>
        <w:rPr>
          <w:rFonts w:ascii="Arial" w:cs="Arial" w:eastAsia="Arial" w:hAnsi="Arial"/>
          <w:sz w:val="20"/>
          <w:szCs w:val="20"/>
          <w:color w:val="auto"/>
        </w:rPr>
        <w:t xml:space="preserve">. Analysts wishing to participate in the question and answer session should use this </w:t>
      </w:r>
      <w:r>
        <w:rPr>
          <w:rFonts w:ascii="Arial" w:cs="Arial" w:eastAsia="Arial" w:hAnsi="Arial"/>
          <w:sz w:val="20"/>
          <w:szCs w:val="20"/>
          <w:u w:val="single" w:color="auto"/>
          <w:color w:val="0000FF"/>
        </w:rPr>
        <w:t>link</w:t>
      </w:r>
      <w:r>
        <w:rPr>
          <w:rFonts w:ascii="Arial" w:cs="Arial" w:eastAsia="Arial" w:hAnsi="Arial"/>
          <w:sz w:val="20"/>
          <w:szCs w:val="20"/>
          <w:color w:val="auto"/>
        </w:rPr>
        <w:t>. A replay of the webcast will be available via the company’s investor website approximately two hours after the call’s conclusion. Those who plan on participating are advised to join 15 minutes prior to the start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lomparvovec (ABBV-RGX-314) for the treatment of wet AMD and diabetic retinopathy, in collaboration with AbbVie, and RGX-121 (clemidsogene lanparvovec) for the treatment of MPS II and RGX-111 for the treatment of MPS I, both in partnership with Nippon Shinyaku. Thousands of patients have been treated with REGENXBIO's AAV platform, including those receiving Novartis' 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ITVISMA</w:t>
      </w:r>
      <w:r>
        <w:rPr>
          <w:rFonts w:ascii="Arial" w:cs="Arial" w:eastAsia="Arial" w:hAnsi="Arial"/>
          <w:sz w:val="26"/>
          <w:szCs w:val="26"/>
          <w:color w:val="auto"/>
          <w:vertAlign w:val="superscript"/>
        </w:rPr>
        <w:t>®</w:t>
      </w:r>
      <w:r>
        <w:rPr>
          <w:rFonts w:ascii="Arial" w:cs="Arial" w:eastAsia="Arial" w:hAnsi="Arial"/>
          <w:sz w:val="20"/>
          <w:szCs w:val="20"/>
          <w:color w:val="auto"/>
        </w:rPr>
        <w:t>. REGENXBIO's investigational gene therapies have the potential to change the way healthcare is delivered for millions of people. For more information, please visit www.REGENXBIO.com.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60"/>
        <w:spacing w:after="0" w:line="231"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4" w:right="39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 xml:space="preserve">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filed with the U.S. Securities and Exchange Commission (SEC) and comparable "risk factors" sections of REGENXBIO's Quarterly Reports on Form 10-Q and other filings, which have been filed with the SEC and are available on the SEC's website at </w:t>
      </w:r>
      <w:r>
        <w:rPr>
          <w:rFonts w:ascii="Arial" w:cs="Arial" w:eastAsia="Arial" w:hAnsi="Arial"/>
          <w:sz w:val="19"/>
          <w:szCs w:val="19"/>
          <w:b w:val="1"/>
          <w:bCs w:val="1"/>
          <w:u w:val="single" w:color="auto"/>
          <w:color w:val="0563C1"/>
        </w:rPr>
        <w:t>WWW.SEC.GOV</w:t>
      </w:r>
      <w:r>
        <w:rPr>
          <w:rFonts w:ascii="Arial" w:cs="Arial" w:eastAsia="Arial" w:hAnsi="Arial"/>
          <w:sz w:val="19"/>
          <w:szCs w:val="19"/>
          <w:color w:val="000000"/>
        </w:rPr>
        <w:t>. All of the forward-looking statements made in this press release are expressly qualified by the cautionary</w:t>
      </w:r>
      <w:r>
        <w:rPr>
          <w:rFonts w:ascii="Arial" w:cs="Arial" w:eastAsia="Arial" w:hAnsi="Arial"/>
          <w:sz w:val="19"/>
          <w:szCs w:val="19"/>
          <w:b w:val="1"/>
          <w:bCs w:val="1"/>
          <w:color w:val="0563C1"/>
        </w:rPr>
        <w:t xml:space="preserve"> </w:t>
      </w:r>
      <w:r>
        <w:rPr>
          <w:rFonts w:ascii="Arial" w:cs="Arial" w:eastAsia="Arial" w:hAnsi="Arial"/>
          <w:sz w:val="19"/>
          <w:szCs w:val="19"/>
          <w:color w:val="000000"/>
        </w:rPr>
        <w:t>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386" w:lineRule="exact"/>
        <w:rPr>
          <w:sz w:val="20"/>
          <w:szCs w:val="20"/>
          <w:color w:val="auto"/>
        </w:rPr>
      </w:pPr>
    </w:p>
    <w:p>
      <w:pPr>
        <w:ind w:right="480"/>
        <w:spacing w:after="0" w:line="216"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ITVISMA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are registered trademarks of Novartis. All other trademarks referenced herein are registered trademarks of REGENXBIO.</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1558290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BALANCE SHEETS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2026</w:t>
            </w:r>
          </w:p>
        </w:tc>
        <w:tc>
          <w:tcPr>
            <w:tcW w:w="20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95,795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34,466</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155,181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195,604</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26,379</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13,009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11,927</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48,146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12,905</w:t>
            </w:r>
          </w:p>
        </w:tc>
        <w:tc>
          <w:tcPr>
            <w:tcW w:w="120" w:type="dxa"/>
            <w:vAlign w:val="bottom"/>
          </w:tcPr>
          <w:p>
            <w:pPr>
              <w:spacing w:after="0"/>
              <w:rPr>
                <w:sz w:val="17"/>
                <w:szCs w:val="17"/>
                <w:color w:val="auto"/>
              </w:rPr>
            </w:pPr>
          </w:p>
        </w:tc>
      </w:tr>
      <w:tr>
        <w:trPr>
          <w:trHeight w:val="196"/>
        </w:trPr>
        <w:tc>
          <w:tcPr>
            <w:tcW w:w="56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320,892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281,281</w:t>
            </w:r>
          </w:p>
        </w:tc>
        <w:tc>
          <w:tcPr>
            <w:tcW w:w="120" w:type="dxa"/>
            <w:vAlign w:val="bottom"/>
            <w:shd w:val="clear" w:color="auto" w:fill="CFF0FC"/>
          </w:tcPr>
          <w:p>
            <w:pPr>
              <w:spacing w:after="0"/>
              <w:rPr>
                <w:sz w:val="17"/>
                <w:szCs w:val="17"/>
                <w:color w:val="auto"/>
              </w:rPr>
            </w:pPr>
          </w:p>
        </w:tc>
      </w:tr>
      <w:tr>
        <w:trPr>
          <w:trHeight w:val="202"/>
        </w:trPr>
        <w:tc>
          <w:tcPr>
            <w:tcW w:w="56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10,785</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2,312</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95,347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104,855</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42,246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47,156</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1,805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2,030</w:t>
            </w:r>
          </w:p>
        </w:tc>
        <w:tc>
          <w:tcPr>
            <w:tcW w:w="12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5,300</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4,613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360"/>
              <w:spacing w:after="0" w:line="196" w:lineRule="exact"/>
              <w:rPr>
                <w:sz w:val="20"/>
                <w:szCs w:val="20"/>
                <w:color w:val="auto"/>
              </w:rPr>
            </w:pPr>
            <w:r>
              <w:rPr>
                <w:rFonts w:ascii="Arial" w:cs="Arial" w:eastAsia="Arial" w:hAnsi="Arial"/>
                <w:sz w:val="18"/>
                <w:szCs w:val="18"/>
                <w:color w:val="auto"/>
              </w:rPr>
              <w:t>Total assets</w:t>
            </w:r>
          </w:p>
        </w:tc>
        <w:tc>
          <w:tcPr>
            <w:tcW w:w="1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466,040</w:t>
            </w:r>
          </w:p>
        </w:tc>
        <w:tc>
          <w:tcPr>
            <w:tcW w:w="2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453,032</w:t>
            </w:r>
          </w:p>
        </w:tc>
        <w:tc>
          <w:tcPr>
            <w:tcW w:w="12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6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6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13,482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21,358</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29,611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38,390</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10,452</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6,492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8,286</w:t>
            </w:r>
          </w:p>
        </w:tc>
        <w:tc>
          <w:tcPr>
            <w:tcW w:w="12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12,114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39,609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67,684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118,095</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16,221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18,943</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60,054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65,215</w:t>
            </w:r>
          </w:p>
        </w:tc>
        <w:tc>
          <w:tcPr>
            <w:tcW w:w="120" w:type="dxa"/>
            <w:vAlign w:val="bottom"/>
          </w:tcPr>
          <w:p>
            <w:pPr>
              <w:spacing w:after="0"/>
              <w:rPr>
                <w:sz w:val="17"/>
                <w:szCs w:val="17"/>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173,564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147,408</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w:t>
            </w:r>
          </w:p>
        </w:tc>
        <w:tc>
          <w:tcPr>
            <w:tcW w:w="120" w:type="dxa"/>
            <w:vAlign w:val="bottom"/>
          </w:tcPr>
          <w:p>
            <w:pPr>
              <w:spacing w:after="0"/>
              <w:rPr>
                <w:sz w:val="17"/>
                <w:szCs w:val="17"/>
                <w:color w:val="auto"/>
              </w:rPr>
            </w:pPr>
          </w:p>
        </w:tc>
      </w:tr>
      <w:tr>
        <w:trPr>
          <w:trHeight w:val="196"/>
        </w:trPr>
        <w:tc>
          <w:tcPr>
            <w:tcW w:w="56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317,998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350,299</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568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Preferred stock; no shares issued and outstanding</w:t>
            </w: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1"/>
        </w:trPr>
        <w:tc>
          <w:tcPr>
            <w:tcW w:w="5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at September 30, 2026 and December 31, 2025</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184"/>
        </w:trPr>
        <w:tc>
          <w:tcPr>
            <w:tcW w:w="5680" w:type="dxa"/>
            <w:vAlign w:val="bottom"/>
          </w:tcPr>
          <w:p>
            <w:pPr>
              <w:ind w:left="180"/>
              <w:spacing w:after="0" w:line="183" w:lineRule="exact"/>
              <w:rPr>
                <w:sz w:val="20"/>
                <w:szCs w:val="20"/>
                <w:color w:val="auto"/>
              </w:rPr>
            </w:pPr>
            <w:r>
              <w:rPr>
                <w:rFonts w:ascii="Arial" w:cs="Arial" w:eastAsia="Arial" w:hAnsi="Arial"/>
                <w:sz w:val="18"/>
                <w:szCs w:val="18"/>
                <w:color w:val="auto"/>
              </w:rPr>
              <w:t>Common stock; 66,119 and 50,892 shares issued</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680" w:type="dxa"/>
            <w:vAlign w:val="bottom"/>
          </w:tcPr>
          <w:p>
            <w:pPr>
              <w:ind w:left="340"/>
              <w:spacing w:after="0" w:line="202" w:lineRule="exact"/>
              <w:rPr>
                <w:sz w:val="20"/>
                <w:szCs w:val="20"/>
                <w:color w:val="auto"/>
              </w:rPr>
            </w:pPr>
            <w:r>
              <w:rPr>
                <w:rFonts w:ascii="Arial" w:cs="Arial" w:eastAsia="Arial" w:hAnsi="Arial"/>
                <w:sz w:val="18"/>
                <w:szCs w:val="18"/>
                <w:color w:val="auto"/>
              </w:rPr>
              <w:t>and outstanding at September 30, 2026 and</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5680" w:type="dxa"/>
            <w:vAlign w:val="bottom"/>
          </w:tcPr>
          <w:p>
            <w:pPr>
              <w:ind w:left="340"/>
              <w:spacing w:after="0"/>
              <w:rPr>
                <w:sz w:val="20"/>
                <w:szCs w:val="20"/>
                <w:color w:val="auto"/>
              </w:rPr>
            </w:pPr>
            <w:r>
              <w:rPr>
                <w:rFonts w:ascii="Arial" w:cs="Arial" w:eastAsia="Arial" w:hAnsi="Arial"/>
                <w:sz w:val="18"/>
                <w:szCs w:val="18"/>
                <w:color w:val="auto"/>
              </w:rPr>
              <w:t>December 31, 2025, respectively</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1,383,187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1,229,442</w:t>
            </w:r>
          </w:p>
        </w:tc>
        <w:tc>
          <w:tcPr>
            <w:tcW w:w="12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(1,045)</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(687)</w:t>
            </w: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(1,234,107)</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(1,126,027)</w:t>
            </w:r>
          </w:p>
        </w:tc>
      </w:tr>
      <w:tr>
        <w:trPr>
          <w:trHeight w:val="196"/>
        </w:trPr>
        <w:tc>
          <w:tcPr>
            <w:tcW w:w="568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stockholders’ equity</w:t>
            </w:r>
          </w:p>
        </w:tc>
        <w:tc>
          <w:tcPr>
            <w:tcW w:w="14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148,042</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102,733</w:t>
            </w:r>
          </w:p>
        </w:tc>
        <w:tc>
          <w:tcPr>
            <w:tcW w:w="120" w:type="dxa"/>
            <w:vAlign w:val="bottom"/>
            <w:tcBorders>
              <w:top w:val="single" w:sz="8" w:color="CFF0FC"/>
            </w:tcBorders>
          </w:tcPr>
          <w:p>
            <w:pPr>
              <w:spacing w:after="0"/>
              <w:rPr>
                <w:sz w:val="17"/>
                <w:szCs w:val="17"/>
                <w:color w:val="auto"/>
              </w:rPr>
            </w:pPr>
          </w:p>
        </w:tc>
      </w:tr>
      <w:tr>
        <w:trPr>
          <w:trHeight w:val="236"/>
        </w:trPr>
        <w:tc>
          <w:tcPr>
            <w:tcW w:w="56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466,040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453,032</w:t>
            </w:r>
          </w:p>
        </w:tc>
        <w:tc>
          <w:tcPr>
            <w:tcW w:w="120" w:type="dxa"/>
            <w:vAlign w:val="bottom"/>
            <w:shd w:val="clear" w:color="auto" w:fill="CFF0FC"/>
          </w:tcPr>
          <w:p>
            <w:pPr>
              <w:spacing w:after="0"/>
              <w:rPr>
                <w:sz w:val="20"/>
                <w:szCs w:val="20"/>
                <w:color w:val="auto"/>
              </w:rPr>
            </w:pPr>
          </w:p>
        </w:tc>
      </w:tr>
      <w:tr>
        <w:trPr>
          <w:trHeight w:val="2687"/>
        </w:trPr>
        <w:tc>
          <w:tcPr>
            <w:tcW w:w="5680" w:type="dxa"/>
            <w:vAlign w:val="bottom"/>
            <w:tcBorders>
              <w:top w:val="single" w:sz="8" w:color="CFF0FC"/>
              <w:bottom w:val="single" w:sz="8" w:color="9A9A9A"/>
            </w:tcBorders>
          </w:tcPr>
          <w:p>
            <w:pPr>
              <w:spacing w:after="0"/>
              <w:rPr>
                <w:sz w:val="24"/>
                <w:szCs w:val="24"/>
                <w:color w:val="auto"/>
              </w:rPr>
            </w:pPr>
          </w:p>
        </w:tc>
        <w:tc>
          <w:tcPr>
            <w:tcW w:w="146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66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6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-5039995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-5039995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-3977005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-3977005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-2030730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-1756410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-1739265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-1756410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4"/>
                <w:szCs w:val="1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Ended September 30,</w:t>
            </w:r>
          </w:p>
        </w:tc>
      </w:tr>
      <w:tr>
        <w:trPr>
          <w:trHeight w:val="183"/>
        </w:trPr>
        <w:tc>
          <w:tcPr>
            <w:tcW w:w="4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r>
      <w:tr>
        <w:trPr>
          <w:trHeight w:val="156"/>
        </w:trPr>
        <w:tc>
          <w:tcPr>
            <w:tcW w:w="49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License and royalty revenue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5,244</w:t>
            </w:r>
          </w:p>
        </w:tc>
        <w:tc>
          <w:tcPr>
            <w:tcW w:w="26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23,605</w:t>
            </w:r>
          </w:p>
        </w:tc>
        <w:tc>
          <w:tcPr>
            <w:tcW w:w="2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114,175</w:t>
            </w:r>
          </w:p>
        </w:tc>
        <w:tc>
          <w:tcPr>
            <w:tcW w:w="24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129,119</w:t>
            </w:r>
          </w:p>
        </w:tc>
        <w:tc>
          <w:tcPr>
            <w:tcW w:w="100" w:type="dxa"/>
            <w:vAlign w:val="bottom"/>
          </w:tcPr>
          <w:p>
            <w:pPr>
              <w:spacing w:after="0"/>
              <w:rPr>
                <w:sz w:val="14"/>
                <w:szCs w:val="14"/>
                <w:color w:val="auto"/>
              </w:rPr>
            </w:pPr>
          </w:p>
        </w:tc>
      </w:tr>
      <w:tr>
        <w:trPr>
          <w:trHeight w:val="162"/>
        </w:trPr>
        <w:tc>
          <w:tcPr>
            <w:tcW w:w="4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Service revenue</w:t>
            </w:r>
          </w:p>
        </w:tc>
        <w:tc>
          <w:tcPr>
            <w:tcW w:w="7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3,918</w:t>
            </w:r>
          </w:p>
        </w:tc>
        <w:tc>
          <w:tcPr>
            <w:tcW w:w="2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6,128</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9,399</w:t>
            </w: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10,985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900" w:type="dxa"/>
            <w:vAlign w:val="bottom"/>
          </w:tcPr>
          <w:p>
            <w:pPr>
              <w:ind w:left="200"/>
              <w:spacing w:after="0" w:line="155" w:lineRule="exact"/>
              <w:rPr>
                <w:sz w:val="20"/>
                <w:szCs w:val="20"/>
                <w:color w:val="auto"/>
              </w:rPr>
            </w:pPr>
            <w:r>
              <w:rPr>
                <w:rFonts w:ascii="Arial" w:cs="Arial" w:eastAsia="Arial" w:hAnsi="Arial"/>
                <w:sz w:val="14"/>
                <w:szCs w:val="14"/>
                <w:color w:val="auto"/>
              </w:rPr>
              <w:t>Total revenues</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9,162</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29,733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123,574</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140,104</w:t>
            </w:r>
          </w:p>
        </w:tc>
        <w:tc>
          <w:tcPr>
            <w:tcW w:w="100" w:type="dxa"/>
            <w:vAlign w:val="bottom"/>
          </w:tcPr>
          <w:p>
            <w:pPr>
              <w:spacing w:after="0"/>
              <w:rPr>
                <w:sz w:val="13"/>
                <w:szCs w:val="13"/>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Expenses (Income)</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Cost of license and royalty revenues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1,141</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5,725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13,257</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14"/>
                <w:szCs w:val="14"/>
                <w:color w:val="auto"/>
              </w:rPr>
            </w:pPr>
          </w:p>
        </w:tc>
      </w:tr>
      <w:tr>
        <w:trPr>
          <w:trHeight w:val="162"/>
        </w:trPr>
        <w:tc>
          <w:tcPr>
            <w:tcW w:w="49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Research and development</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61,009</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56,101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174,434</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168,688</w:t>
            </w:r>
          </w:p>
        </w:tc>
        <w:tc>
          <w:tcPr>
            <w:tcW w:w="100" w:type="dxa"/>
            <w:vAlign w:val="bottom"/>
            <w:shd w:val="clear" w:color="auto" w:fill="CFF0FC"/>
          </w:tcPr>
          <w:p>
            <w:pPr>
              <w:spacing w:after="0"/>
              <w:rPr>
                <w:sz w:val="14"/>
                <w:szCs w:val="14"/>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20,579</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20,253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63,501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60,483</w:t>
            </w:r>
          </w:p>
        </w:tc>
        <w:tc>
          <w:tcPr>
            <w:tcW w:w="100" w:type="dxa"/>
            <w:vAlign w:val="bottom"/>
          </w:tcPr>
          <w:p>
            <w:pPr>
              <w:spacing w:after="0"/>
              <w:rPr>
                <w:sz w:val="14"/>
                <w:szCs w:val="14"/>
                <w:color w:val="auto"/>
              </w:rPr>
            </w:pPr>
          </w:p>
        </w:tc>
      </w:tr>
      <w:tr>
        <w:trPr>
          <w:trHeight w:val="162"/>
        </w:trPr>
        <w:tc>
          <w:tcPr>
            <w:tcW w:w="49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Gain on litigation settlement</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(38,026)</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(38,026)</w:t>
            </w:r>
          </w:p>
        </w:tc>
        <w:tc>
          <w:tcPr>
            <w:tcW w:w="3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Other operating expenses (income)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r>
      <w:tr>
        <w:trPr>
          <w:trHeight w:val="155"/>
        </w:trPr>
        <w:tc>
          <w:tcPr>
            <w:tcW w:w="490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operating expenses</w:t>
            </w:r>
          </w:p>
        </w:tc>
        <w:tc>
          <w:tcPr>
            <w:tcW w:w="7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44,696</w:t>
            </w:r>
          </w:p>
        </w:tc>
        <w:tc>
          <w:tcPr>
            <w:tcW w:w="26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82,144</w:t>
            </w: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213,207</w:t>
            </w:r>
          </w:p>
        </w:tc>
        <w:tc>
          <w:tcPr>
            <w:tcW w:w="24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243,666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4900" w:type="dxa"/>
            <w:vAlign w:val="bottom"/>
          </w:tcPr>
          <w:p>
            <w:pPr>
              <w:ind w:left="200"/>
              <w:spacing w:after="0" w:line="155" w:lineRule="exact"/>
              <w:rPr>
                <w:sz w:val="20"/>
                <w:szCs w:val="20"/>
                <w:color w:val="auto"/>
              </w:rPr>
            </w:pPr>
            <w:r>
              <w:rPr>
                <w:rFonts w:ascii="Arial" w:cs="Arial" w:eastAsia="Arial" w:hAnsi="Arial"/>
                <w:sz w:val="14"/>
                <w:szCs w:val="14"/>
                <w:color w:val="auto"/>
              </w:rPr>
              <w:t>Loss from operations</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(35,534)</w:t>
            </w:r>
          </w:p>
        </w:tc>
        <w:tc>
          <w:tcPr>
            <w:tcW w:w="380" w:type="dxa"/>
            <w:vAlign w:val="bottom"/>
          </w:tcPr>
          <w:p>
            <w:pPr>
              <w:spacing w:after="0"/>
              <w:rPr>
                <w:sz w:val="13"/>
                <w:szCs w:val="13"/>
                <w:color w:val="auto"/>
              </w:rPr>
            </w:pPr>
          </w:p>
        </w:tc>
        <w:tc>
          <w:tcPr>
            <w:tcW w:w="10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(52,411)</w:t>
            </w:r>
          </w:p>
        </w:tc>
        <w:tc>
          <w:tcPr>
            <w:tcW w:w="240" w:type="dxa"/>
            <w:vAlign w:val="bottom"/>
          </w:tcPr>
          <w:p>
            <w:pPr>
              <w:spacing w:after="0"/>
              <w:rPr>
                <w:sz w:val="13"/>
                <w:szCs w:val="13"/>
                <w:color w:val="auto"/>
              </w:rPr>
            </w:pP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(89,633)</w:t>
            </w:r>
          </w:p>
        </w:tc>
        <w:tc>
          <w:tcPr>
            <w:tcW w:w="360" w:type="dxa"/>
            <w:vAlign w:val="bottom"/>
          </w:tcPr>
          <w:p>
            <w:pPr>
              <w:spacing w:after="0"/>
              <w:rPr>
                <w:sz w:val="13"/>
                <w:szCs w:val="13"/>
                <w:color w:val="auto"/>
              </w:rPr>
            </w:pPr>
          </w:p>
        </w:tc>
        <w:tc>
          <w:tcPr>
            <w:tcW w:w="9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(103,562)</w:t>
            </w: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Income (Expense)</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Interest income from licensing</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r>
      <w:tr>
        <w:trPr>
          <w:trHeight w:val="162"/>
        </w:trPr>
        <w:tc>
          <w:tcPr>
            <w:tcW w:w="49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Investment income</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2,252</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FF0FC"/>
          </w:tcPr>
          <w:p>
            <w:pPr>
              <w:spacing w:after="0"/>
              <w:rPr>
                <w:sz w:val="14"/>
                <w:szCs w:val="14"/>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(7,472)</w:t>
            </w:r>
          </w:p>
        </w:tc>
        <w:tc>
          <w:tcPr>
            <w:tcW w:w="3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(13,169)</w:t>
            </w: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(23,973)</w:t>
            </w:r>
          </w:p>
        </w:tc>
        <w:tc>
          <w:tcPr>
            <w:tcW w:w="3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(32,732)</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90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income (expense)</w:t>
            </w: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(5,204)</w:t>
            </w:r>
          </w:p>
        </w:tc>
        <w:tc>
          <w:tcPr>
            <w:tcW w:w="3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(9,530)</w:t>
            </w:r>
          </w:p>
        </w:tc>
        <w:tc>
          <w:tcPr>
            <w:tcW w:w="2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(18,447)</w:t>
            </w:r>
          </w:p>
        </w:tc>
        <w:tc>
          <w:tcPr>
            <w:tcW w:w="3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(23,167)</w:t>
            </w:r>
          </w:p>
        </w:tc>
      </w:tr>
      <w:tr>
        <w:trPr>
          <w:trHeight w:val="20"/>
        </w:trPr>
        <w:tc>
          <w:tcPr>
            <w:tcW w:w="49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900" w:type="dxa"/>
            <w:vAlign w:val="bottom"/>
          </w:tcPr>
          <w:p>
            <w:pPr>
              <w:ind w:left="200"/>
              <w:spacing w:after="0" w:line="155"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(40,738)</w:t>
            </w: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(61,941)</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(108,080)</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(126,729)</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90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Income (Loss)</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900" w:type="dxa"/>
            <w:vAlign w:val="bottom"/>
          </w:tcPr>
          <w:p>
            <w:pPr>
              <w:ind w:left="100"/>
              <w:spacing w:after="0"/>
              <w:rPr>
                <w:sz w:val="20"/>
                <w:szCs w:val="20"/>
                <w:color w:val="auto"/>
              </w:rPr>
            </w:pPr>
            <w:r>
              <w:rPr>
                <w:rFonts w:ascii="Arial" w:cs="Arial" w:eastAsia="Arial" w:hAnsi="Arial"/>
                <w:sz w:val="14"/>
                <w:szCs w:val="14"/>
                <w:color w:val="auto"/>
              </w:rPr>
              <w:t>Unrealized gain (loss) on available-for-sale securities, net</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(170)</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(358)</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490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comprehensive income (loss)</w:t>
            </w: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(170)</w:t>
            </w:r>
          </w:p>
        </w:tc>
        <w:tc>
          <w:tcPr>
            <w:tcW w:w="3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(358)</w:t>
            </w: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w:t>
            </w:r>
          </w:p>
        </w:tc>
        <w:tc>
          <w:tcPr>
            <w:tcW w:w="100" w:type="dxa"/>
            <w:vAlign w:val="bottom"/>
            <w:shd w:val="clear" w:color="auto" w:fill="CFF0FC"/>
          </w:tcPr>
          <w:p>
            <w:pPr>
              <w:spacing w:after="0"/>
              <w:rPr>
                <w:sz w:val="13"/>
                <w:szCs w:val="13"/>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90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(40,908)</w:t>
            </w: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(61,843)</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(108,438)</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(126,640)</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9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Net loss per share, basic and diluted</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(0.62)</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(1.20)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(1.90)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(2.46)</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Weighted-average common shares outstanding, basic and diluted</w:t>
            </w:r>
          </w:p>
        </w:tc>
        <w:tc>
          <w:tcPr>
            <w:tcW w:w="7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65,263</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51,689</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56,884</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51,513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07"/>
        </w:trPr>
        <w:tc>
          <w:tcPr>
            <w:tcW w:w="4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-3470910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-3470910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-3470910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-2630805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-2630805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-2630805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-1996440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-1996440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-1996440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-1542415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-1542415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-1542415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-1070610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-1053465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-1070610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-1053465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-1070610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-1053465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2026-11-05T06:14:08Z</dcterms:created>
  <dcterms:modified xsi:type="dcterms:W3CDTF">2026-11-05T06:14:08Z</dcterms:modified>
</cp:coreProperties>
</file>